
<file path=[Content_Types].xml><?xml version="1.0" encoding="utf-8"?>
<Types xmlns="http://schemas.openxmlformats.org/package/2006/content-types">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E6F743" w14:textId="5EB0499D" w:rsidR="00AA55F8" w:rsidRDefault="00D17B09" w:rsidP="00B848DB">
      <w:pPr>
        <w:autoSpaceDE w:val="0"/>
        <w:autoSpaceDN w:val="0"/>
        <w:adjustRightInd w:val="0"/>
        <w:spacing w:line="240" w:lineRule="auto"/>
        <w:jc w:val="center"/>
        <w:rPr>
          <w:rFonts w:ascii="Garamond" w:hAnsi="Garamond" w:cs="Verdana"/>
        </w:rPr>
      </w:pPr>
      <w:r>
        <w:rPr>
          <w:rFonts w:ascii="Garamond" w:hAnsi="Garamond" w:cs="Verdana"/>
          <w:noProof/>
          <w:lang w:eastAsia="it-IT"/>
        </w:rPr>
        <w:drawing>
          <wp:anchor distT="0" distB="0" distL="114300" distR="114300" simplePos="0" relativeHeight="251658240" behindDoc="0" locked="0" layoutInCell="1" allowOverlap="1" wp14:anchorId="683A16F2" wp14:editId="37D7F536">
            <wp:simplePos x="0" y="0"/>
            <wp:positionH relativeFrom="margin">
              <wp:align>center</wp:align>
            </wp:positionH>
            <wp:positionV relativeFrom="margin">
              <wp:align>top</wp:align>
            </wp:positionV>
            <wp:extent cx="1022350" cy="883920"/>
            <wp:effectExtent l="0" t="0" r="6350" b="0"/>
            <wp:wrapSquare wrapText="bothSides"/>
            <wp:docPr id="1" name="Immagine 1" descr="Lissone_centrato cop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Lissone_centrato copia"/>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22350" cy="8839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A8C790" w14:textId="3BF5C5C1" w:rsidR="00AB0A90" w:rsidRDefault="00AB0A90" w:rsidP="00B848DB">
      <w:pPr>
        <w:autoSpaceDE w:val="0"/>
        <w:autoSpaceDN w:val="0"/>
        <w:adjustRightInd w:val="0"/>
        <w:spacing w:line="240" w:lineRule="auto"/>
        <w:jc w:val="center"/>
        <w:rPr>
          <w:rFonts w:ascii="Garamond" w:hAnsi="Garamond" w:cs="Verdana"/>
        </w:rPr>
      </w:pPr>
    </w:p>
    <w:p w14:paraId="50FCD3D3" w14:textId="77777777" w:rsidR="00B848DB" w:rsidRPr="004C12DD" w:rsidRDefault="00B848DB" w:rsidP="00261A65">
      <w:pPr>
        <w:rPr>
          <w:sz w:val="20"/>
          <w:szCs w:val="20"/>
        </w:rPr>
      </w:pPr>
    </w:p>
    <w:p w14:paraId="0E5730CE" w14:textId="77777777" w:rsidR="00B848DB" w:rsidRDefault="00B848DB" w:rsidP="00495368">
      <w:pPr>
        <w:pStyle w:val="Titolo8"/>
        <w:tabs>
          <w:tab w:val="clear" w:pos="284"/>
          <w:tab w:val="left" w:pos="708"/>
        </w:tabs>
        <w:rPr>
          <w:rFonts w:ascii="Garamond" w:hAnsi="Garamond" w:cs="Arial"/>
          <w:spacing w:val="0"/>
          <w:sz w:val="22"/>
          <w:szCs w:val="22"/>
          <w:u w:val="none"/>
        </w:rPr>
      </w:pPr>
    </w:p>
    <w:p w14:paraId="41F7F892" w14:textId="77777777" w:rsidR="00261A65" w:rsidRPr="00261A65" w:rsidRDefault="00261A65" w:rsidP="00261A65">
      <w:pPr>
        <w:rPr>
          <w:lang w:eastAsia="it-IT"/>
        </w:rPr>
      </w:pPr>
    </w:p>
    <w:p w14:paraId="2386B8B8" w14:textId="77777777" w:rsidR="00A449AB" w:rsidRDefault="00A449AB" w:rsidP="000C3007">
      <w:pPr>
        <w:jc w:val="center"/>
        <w:rPr>
          <w:rFonts w:ascii="Times New Roman" w:hAnsi="Times New Roman" w:cs="Times New Roman"/>
          <w:b/>
          <w:color w:val="000000"/>
        </w:rPr>
      </w:pPr>
    </w:p>
    <w:p w14:paraId="19F8B0B5" w14:textId="77777777" w:rsidR="00A449AB" w:rsidRDefault="00A449AB" w:rsidP="000C3007">
      <w:pPr>
        <w:jc w:val="center"/>
        <w:rPr>
          <w:rFonts w:ascii="Times New Roman" w:hAnsi="Times New Roman" w:cs="Times New Roman"/>
          <w:b/>
          <w:color w:val="000000"/>
        </w:rPr>
      </w:pPr>
    </w:p>
    <w:p w14:paraId="407925EB" w14:textId="77777777" w:rsidR="00A13331" w:rsidRDefault="00A13331" w:rsidP="00D85714">
      <w:pPr>
        <w:pStyle w:val="Standard"/>
        <w:jc w:val="center"/>
      </w:pPr>
    </w:p>
    <w:p w14:paraId="4827074C" w14:textId="77777777" w:rsidR="00A13331" w:rsidRDefault="00A13331" w:rsidP="00D85714">
      <w:pPr>
        <w:pStyle w:val="Standard"/>
        <w:jc w:val="center"/>
      </w:pPr>
    </w:p>
    <w:p w14:paraId="6D524A92" w14:textId="5644770A" w:rsidR="005011C5" w:rsidRPr="007426BE" w:rsidRDefault="005011C5" w:rsidP="005011C5">
      <w:pPr>
        <w:jc w:val="center"/>
        <w:rPr>
          <w:rFonts w:ascii="Times New Roman" w:hAnsi="Times New Roman" w:cs="Times New Roman"/>
          <w:b/>
          <w:sz w:val="32"/>
          <w:szCs w:val="32"/>
        </w:rPr>
      </w:pPr>
      <w:r w:rsidRPr="007426BE">
        <w:rPr>
          <w:rFonts w:ascii="Times New Roman" w:hAnsi="Times New Roman" w:cs="Times New Roman"/>
          <w:b/>
          <w:sz w:val="32"/>
          <w:szCs w:val="32"/>
        </w:rPr>
        <w:t>SERVIZIO DI GESTIONE DEI CENTRI RICREATIVI ESTIVI DEL COMUNE DI LISSONE</w:t>
      </w:r>
    </w:p>
    <w:p w14:paraId="0903B921" w14:textId="77777777" w:rsidR="005011C5" w:rsidRPr="007426BE" w:rsidRDefault="005011C5" w:rsidP="005011C5">
      <w:pPr>
        <w:jc w:val="center"/>
        <w:rPr>
          <w:rFonts w:ascii="Times New Roman" w:hAnsi="Times New Roman" w:cs="Times New Roman"/>
          <w:b/>
          <w:sz w:val="32"/>
          <w:szCs w:val="32"/>
        </w:rPr>
      </w:pPr>
    </w:p>
    <w:p w14:paraId="6EE1E4A7" w14:textId="24849C6B" w:rsidR="005011C5" w:rsidRPr="007426BE" w:rsidRDefault="005011C5" w:rsidP="005011C5">
      <w:pPr>
        <w:jc w:val="center"/>
        <w:rPr>
          <w:rFonts w:ascii="Times New Roman" w:hAnsi="Times New Roman" w:cs="Times New Roman"/>
          <w:b/>
          <w:sz w:val="32"/>
          <w:szCs w:val="32"/>
        </w:rPr>
      </w:pPr>
      <w:r w:rsidRPr="007426BE">
        <w:rPr>
          <w:rFonts w:ascii="Times New Roman" w:hAnsi="Times New Roman" w:cs="Times New Roman"/>
          <w:b/>
          <w:sz w:val="32"/>
          <w:szCs w:val="32"/>
        </w:rPr>
        <w:t>(ANNI 2026, 2027 e 2028)</w:t>
      </w:r>
    </w:p>
    <w:p w14:paraId="6B0DC750" w14:textId="77777777" w:rsidR="005011C5" w:rsidRDefault="005011C5" w:rsidP="005011C5">
      <w:pPr>
        <w:jc w:val="center"/>
        <w:rPr>
          <w:b/>
          <w:sz w:val="32"/>
          <w:szCs w:val="32"/>
        </w:rPr>
      </w:pPr>
    </w:p>
    <w:p w14:paraId="3D9E575F" w14:textId="77777777" w:rsidR="00A13331" w:rsidRDefault="00A13331" w:rsidP="00D85714">
      <w:pPr>
        <w:pStyle w:val="Standard"/>
        <w:jc w:val="center"/>
      </w:pPr>
    </w:p>
    <w:p w14:paraId="2B270B55" w14:textId="77777777" w:rsidR="00A13331" w:rsidRDefault="00A13331" w:rsidP="00D85714">
      <w:pPr>
        <w:pStyle w:val="Standard"/>
        <w:jc w:val="center"/>
      </w:pPr>
    </w:p>
    <w:p w14:paraId="5D030CCD" w14:textId="7E8ABAA3" w:rsidR="00D85714" w:rsidRPr="00A13331" w:rsidRDefault="00D85714" w:rsidP="00D85714">
      <w:pPr>
        <w:pStyle w:val="Standard"/>
        <w:jc w:val="center"/>
        <w:rPr>
          <w:b/>
          <w:bCs/>
        </w:rPr>
      </w:pPr>
      <w:r w:rsidRPr="00A13331">
        <w:rPr>
          <w:b/>
          <w:bCs/>
        </w:rPr>
        <w:t xml:space="preserve">RELAZIONE TECNICO ILLUSTRATIVA </w:t>
      </w:r>
      <w:r w:rsidR="00A13331" w:rsidRPr="00A13331">
        <w:rPr>
          <w:b/>
          <w:bCs/>
        </w:rPr>
        <w:t>E DOCUMENTO DI STIMA ECONOMICA</w:t>
      </w:r>
    </w:p>
    <w:p w14:paraId="590F040A" w14:textId="0E0C2DC2" w:rsidR="00D85714" w:rsidRPr="00A13331" w:rsidRDefault="00D85714" w:rsidP="00D85714">
      <w:pPr>
        <w:pStyle w:val="Standard"/>
        <w:jc w:val="center"/>
        <w:rPr>
          <w:b/>
          <w:bCs/>
        </w:rPr>
      </w:pPr>
      <w:r w:rsidRPr="00A13331">
        <w:rPr>
          <w:b/>
          <w:bCs/>
        </w:rPr>
        <w:t>(</w:t>
      </w:r>
      <w:r w:rsidR="001F6FA9" w:rsidRPr="00A13331">
        <w:rPr>
          <w:b/>
          <w:bCs/>
        </w:rPr>
        <w:t xml:space="preserve">ex </w:t>
      </w:r>
      <w:r w:rsidRPr="00A13331">
        <w:rPr>
          <w:b/>
          <w:bCs/>
        </w:rPr>
        <w:t xml:space="preserve">art. </w:t>
      </w:r>
      <w:r w:rsidR="001F6FA9" w:rsidRPr="00A13331">
        <w:rPr>
          <w:b/>
          <w:bCs/>
        </w:rPr>
        <w:t>41</w:t>
      </w:r>
      <w:r w:rsidRPr="00A13331">
        <w:rPr>
          <w:b/>
          <w:bCs/>
        </w:rPr>
        <w:t>, comma 1</w:t>
      </w:r>
      <w:r w:rsidR="001F6FA9" w:rsidRPr="00A13331">
        <w:rPr>
          <w:b/>
          <w:bCs/>
        </w:rPr>
        <w:t>2</w:t>
      </w:r>
      <w:r w:rsidRPr="00A13331">
        <w:rPr>
          <w:b/>
          <w:bCs/>
        </w:rPr>
        <w:t xml:space="preserve">, </w:t>
      </w:r>
      <w:proofErr w:type="spellStart"/>
      <w:r w:rsidRPr="00A13331">
        <w:rPr>
          <w:b/>
          <w:bCs/>
        </w:rPr>
        <w:t>D.Lgs.</w:t>
      </w:r>
      <w:proofErr w:type="spellEnd"/>
      <w:r w:rsidRPr="00A13331">
        <w:rPr>
          <w:b/>
          <w:bCs/>
        </w:rPr>
        <w:t xml:space="preserve"> </w:t>
      </w:r>
      <w:r w:rsidR="001F6FA9" w:rsidRPr="00A13331">
        <w:rPr>
          <w:b/>
          <w:bCs/>
        </w:rPr>
        <w:t>36</w:t>
      </w:r>
      <w:r w:rsidRPr="00A13331">
        <w:rPr>
          <w:b/>
          <w:bCs/>
        </w:rPr>
        <w:t>/20</w:t>
      </w:r>
      <w:r w:rsidR="001F6FA9" w:rsidRPr="00A13331">
        <w:rPr>
          <w:b/>
          <w:bCs/>
        </w:rPr>
        <w:t>23</w:t>
      </w:r>
      <w:r w:rsidRPr="00A13331">
        <w:rPr>
          <w:b/>
          <w:bCs/>
        </w:rPr>
        <w:t>)</w:t>
      </w:r>
    </w:p>
    <w:p w14:paraId="17497961" w14:textId="77777777" w:rsidR="003244A3" w:rsidRDefault="003244A3" w:rsidP="00D85714">
      <w:pPr>
        <w:pStyle w:val="Standard"/>
        <w:jc w:val="center"/>
      </w:pPr>
    </w:p>
    <w:p w14:paraId="273471AA" w14:textId="77777777" w:rsidR="003244A3" w:rsidRPr="005011C5" w:rsidRDefault="003244A3" w:rsidP="003244A3">
      <w:pPr>
        <w:autoSpaceDE w:val="0"/>
        <w:autoSpaceDN w:val="0"/>
        <w:adjustRightInd w:val="0"/>
        <w:spacing w:after="120" w:line="240" w:lineRule="auto"/>
        <w:jc w:val="both"/>
        <w:rPr>
          <w:rFonts w:ascii="Times New Roman" w:hAnsi="Times New Roman" w:cs="Times New Roman"/>
          <w:bCs/>
          <w:lang w:eastAsia="ar-SA"/>
        </w:rPr>
      </w:pPr>
      <w:r w:rsidRPr="005011C5">
        <w:rPr>
          <w:rFonts w:ascii="Times New Roman" w:hAnsi="Times New Roman" w:cs="Times New Roman"/>
          <w:bCs/>
          <w:lang w:eastAsia="ar-SA"/>
        </w:rPr>
        <w:t xml:space="preserve">Il presente documento viene redatto ai sensi del </w:t>
      </w:r>
      <w:proofErr w:type="spellStart"/>
      <w:r w:rsidRPr="005011C5">
        <w:rPr>
          <w:rFonts w:ascii="Times New Roman" w:hAnsi="Times New Roman" w:cs="Times New Roman"/>
          <w:bCs/>
          <w:lang w:eastAsia="ar-SA"/>
        </w:rPr>
        <w:t>D.Lgs.</w:t>
      </w:r>
      <w:proofErr w:type="spellEnd"/>
      <w:r w:rsidRPr="005011C5">
        <w:rPr>
          <w:rFonts w:ascii="Times New Roman" w:hAnsi="Times New Roman" w:cs="Times New Roman"/>
          <w:bCs/>
          <w:lang w:eastAsia="ar-SA"/>
        </w:rPr>
        <w:t xml:space="preserve"> n. 36/2023 “Codice dei contratti pubblici” che, all’art. 41 “Livelli e i contenuti della progettazione”, prevede che la progettazione di servizi e forniture è articolata in un unico livello ed è predisposta dalle stazioni appaltanti e dagli enti concedenti mediante propri dipendenti in servizio. Il medesimo articolo rimanda, poi, all’Allegato I.7 del Codice, “Contenuti minimi del quadro </w:t>
      </w:r>
      <w:proofErr w:type="spellStart"/>
      <w:r w:rsidRPr="005011C5">
        <w:rPr>
          <w:rFonts w:ascii="Times New Roman" w:hAnsi="Times New Roman" w:cs="Times New Roman"/>
          <w:bCs/>
          <w:lang w:eastAsia="ar-SA"/>
        </w:rPr>
        <w:t>esigenziale</w:t>
      </w:r>
      <w:proofErr w:type="spellEnd"/>
      <w:r w:rsidRPr="005011C5">
        <w:rPr>
          <w:rFonts w:ascii="Times New Roman" w:hAnsi="Times New Roman" w:cs="Times New Roman"/>
          <w:bCs/>
          <w:lang w:eastAsia="ar-SA"/>
        </w:rPr>
        <w:t>, del documento di fattibilità delle alternative progettuali, del documento di indirizzo della progettazione, del progetto di fattibilità tecnica ed economica e del progetto esecutivo”.</w:t>
      </w:r>
    </w:p>
    <w:p w14:paraId="301ADF3B" w14:textId="77777777" w:rsidR="00D85714" w:rsidRPr="005011C5" w:rsidRDefault="00D85714" w:rsidP="003244A3">
      <w:pPr>
        <w:pStyle w:val="Standard"/>
        <w:rPr>
          <w:sz w:val="22"/>
          <w:szCs w:val="22"/>
        </w:rPr>
      </w:pPr>
    </w:p>
    <w:p w14:paraId="26093DF8" w14:textId="43F9A9DF" w:rsidR="00D85714" w:rsidRPr="00032BD7" w:rsidRDefault="00032BD7" w:rsidP="00D85714">
      <w:pPr>
        <w:pStyle w:val="Standard"/>
        <w:jc w:val="both"/>
        <w:rPr>
          <w:b/>
          <w:bCs/>
        </w:rPr>
      </w:pPr>
      <w:r w:rsidRPr="00032BD7">
        <w:rPr>
          <w:b/>
          <w:bCs/>
        </w:rPr>
        <w:t>INQUADRAMENTO TERRITORIALE, ECONOMICO E SOCIO-CULTURALE DELLA REALTÀ LISSONESE.</w:t>
      </w:r>
    </w:p>
    <w:p w14:paraId="6460DC16" w14:textId="77777777" w:rsidR="007044F4" w:rsidRDefault="00467040" w:rsidP="00467040">
      <w:pPr>
        <w:autoSpaceDE w:val="0"/>
        <w:autoSpaceDN w:val="0"/>
        <w:adjustRightInd w:val="0"/>
        <w:spacing w:after="120" w:line="240" w:lineRule="auto"/>
        <w:jc w:val="both"/>
        <w:rPr>
          <w:rFonts w:ascii="Times New Roman" w:hAnsi="Times New Roman" w:cs="Times New Roman"/>
          <w:bCs/>
          <w:szCs w:val="24"/>
          <w:lang w:eastAsia="ar-SA"/>
        </w:rPr>
      </w:pPr>
      <w:r w:rsidRPr="00434E8C">
        <w:rPr>
          <w:rFonts w:ascii="Times New Roman" w:hAnsi="Times New Roman" w:cs="Times New Roman"/>
          <w:bCs/>
          <w:szCs w:val="24"/>
          <w:lang w:eastAsia="ar-SA"/>
        </w:rPr>
        <w:t>Lissone, città dal 1982, è un comune della provincia di Monza e della Brianza in Lombardia, ubicato nella Bassa Brianza. Si estende su una superficie di 9,27 km² e comprende due frazioni (Santa Margherita e Bareggia).</w:t>
      </w:r>
      <w:r>
        <w:rPr>
          <w:rFonts w:ascii="Times New Roman" w:hAnsi="Times New Roman" w:cs="Times New Roman"/>
          <w:bCs/>
          <w:szCs w:val="24"/>
          <w:lang w:eastAsia="ar-SA"/>
        </w:rPr>
        <w:t xml:space="preserve"> </w:t>
      </w:r>
      <w:r w:rsidRPr="00434E8C">
        <w:rPr>
          <w:rFonts w:ascii="Times New Roman" w:hAnsi="Times New Roman" w:cs="Times New Roman"/>
          <w:bCs/>
          <w:szCs w:val="24"/>
          <w:lang w:eastAsia="ar-SA"/>
        </w:rPr>
        <w:t>Dista 18 Km da Milano e 2 Km da Monza; confina con Seregno, Albiate, Sovico, Macherio, Biassono, Vedano al Lambro, Monza, Muggiò, Desio.</w:t>
      </w:r>
      <w:r>
        <w:rPr>
          <w:rFonts w:ascii="Times New Roman" w:hAnsi="Times New Roman" w:cs="Times New Roman"/>
          <w:bCs/>
          <w:szCs w:val="24"/>
          <w:lang w:eastAsia="ar-SA"/>
        </w:rPr>
        <w:t xml:space="preserve"> </w:t>
      </w:r>
      <w:r w:rsidRPr="00434E8C">
        <w:rPr>
          <w:rFonts w:ascii="Times New Roman" w:hAnsi="Times New Roman" w:cs="Times New Roman"/>
          <w:bCs/>
          <w:szCs w:val="24"/>
          <w:lang w:eastAsia="ar-SA"/>
        </w:rPr>
        <w:t>Lissone è servita dalla Superstrada SS36, che presenta cinque uscite utili per raggiungere la città, e costituisce la principale arteria di connessione della "Città del Mobile" con Milano e Lecco.</w:t>
      </w:r>
      <w:r>
        <w:rPr>
          <w:rFonts w:ascii="Times New Roman" w:hAnsi="Times New Roman" w:cs="Times New Roman"/>
          <w:bCs/>
          <w:szCs w:val="24"/>
          <w:lang w:eastAsia="ar-SA"/>
        </w:rPr>
        <w:t xml:space="preserve"> </w:t>
      </w:r>
      <w:r w:rsidRPr="00434E8C">
        <w:rPr>
          <w:rFonts w:ascii="Times New Roman" w:hAnsi="Times New Roman" w:cs="Times New Roman"/>
          <w:bCs/>
          <w:szCs w:val="24"/>
          <w:lang w:eastAsia="ar-SA"/>
        </w:rPr>
        <w:t>Il mezzo di trasporto pubblico più utilizzato a Lissone è il treno: la stazione di Lissone-Muggiò, lungo la linea ferroviaria internazionale Chiasso-Milano, è servita dai treni suburbani delle linee S9 e S11 (Chiasso-Milano) e si trova nei pressi del centro storico cittadino, a poca distanza dal confine con il Comune di Muggiò.</w:t>
      </w:r>
      <w:r>
        <w:rPr>
          <w:rFonts w:ascii="Times New Roman" w:hAnsi="Times New Roman" w:cs="Times New Roman"/>
          <w:bCs/>
          <w:szCs w:val="24"/>
          <w:lang w:eastAsia="ar-SA"/>
        </w:rPr>
        <w:t xml:space="preserve"> </w:t>
      </w:r>
      <w:r w:rsidRPr="00434E8C">
        <w:rPr>
          <w:rFonts w:ascii="Times New Roman" w:hAnsi="Times New Roman" w:cs="Times New Roman"/>
          <w:bCs/>
          <w:szCs w:val="24"/>
          <w:lang w:eastAsia="ar-SA"/>
        </w:rPr>
        <w:t>È assente una rete di trasporto pubblico urbano, ma tutto il territorio cittadino è servito da una capillare rete di fermate dei mezzi di superficie di trasporti interurbani di Autoguidovie e Brianza Trasporti.</w:t>
      </w:r>
    </w:p>
    <w:p w14:paraId="7B82275C" w14:textId="3D8607F1" w:rsidR="00467040" w:rsidRPr="00EB14E4" w:rsidRDefault="00467040" w:rsidP="00467040">
      <w:pPr>
        <w:autoSpaceDE w:val="0"/>
        <w:autoSpaceDN w:val="0"/>
        <w:adjustRightInd w:val="0"/>
        <w:spacing w:after="120" w:line="240" w:lineRule="auto"/>
        <w:jc w:val="both"/>
        <w:rPr>
          <w:rFonts w:ascii="Times New Roman" w:hAnsi="Times New Roman" w:cs="Times New Roman"/>
          <w:bCs/>
          <w:szCs w:val="24"/>
          <w:lang w:eastAsia="ar-SA"/>
        </w:rPr>
      </w:pPr>
      <w:r w:rsidRPr="00EB14E4">
        <w:rPr>
          <w:rFonts w:ascii="Times New Roman" w:hAnsi="Times New Roman" w:cs="Times New Roman"/>
          <w:bCs/>
          <w:szCs w:val="24"/>
          <w:lang w:eastAsia="ar-SA"/>
        </w:rPr>
        <w:t>Lissone, "Capitale del mobile", è nota in Italia e all'estero per la produzione e il commercio di articoli per l'arredamento.</w:t>
      </w:r>
      <w:r>
        <w:rPr>
          <w:rFonts w:ascii="Times New Roman" w:hAnsi="Times New Roman" w:cs="Times New Roman"/>
          <w:bCs/>
          <w:szCs w:val="24"/>
          <w:lang w:eastAsia="ar-SA"/>
        </w:rPr>
        <w:t xml:space="preserve"> </w:t>
      </w:r>
      <w:r w:rsidRPr="00EB14E4">
        <w:rPr>
          <w:rFonts w:ascii="Times New Roman" w:hAnsi="Times New Roman" w:cs="Times New Roman"/>
          <w:bCs/>
          <w:szCs w:val="24"/>
          <w:lang w:eastAsia="ar-SA"/>
        </w:rPr>
        <w:t xml:space="preserve">Il sistema economico e sociale del Comune di Lissone ha subito importanti trasformazioni negli ultimi 20 anni. I fattori più importanti di tale cambiamento sono stati l’aumento della popolazione residente e la progressiva trasformazione del sistema produttivo che colloca attualmente la città all’interno di un tessuto molto denso, tra Milano e la provincia di Monza e Brianza. Nel medesimo periodo si assiste ad un significativo cambiamento nella composizione settoriale delle imprese locali: a fronte della riduzione di circa un quarto delle imprese manifatturiere, con relativo calo occupazionale assestato intorno al 20%, si registra un aumento delle attività di servizio, concentrato in particolare modo nel comparto alloggio, ristorazione e servizi alle imprese che vedono triplicare i propri addetti. La peculiare commistione di attività produttive di carattere artigianale e di negozi commerciali, che ha caratterizzato Lissone fin dalle sue origini ‘industriali’ fra ottocento e novecento, si è progressivamente amplificata negli ultimi decenni, da un lato, per l’aumento dell’importanza della grande distribuzione nella vendita di mobili e per i cambiamenti degli stili di acquisto dei consumatori e, dall’altro, per </w:t>
      </w:r>
      <w:r w:rsidRPr="00EB14E4">
        <w:rPr>
          <w:rFonts w:ascii="Times New Roman" w:hAnsi="Times New Roman" w:cs="Times New Roman"/>
          <w:bCs/>
          <w:szCs w:val="24"/>
          <w:lang w:eastAsia="ar-SA"/>
        </w:rPr>
        <w:lastRenderedPageBreak/>
        <w:t>l’aumento delle pressioni concorrenziali e i problemi di continuità e successione imprenditoriale tipici di imprese artigianali di piccole dimensioni.</w:t>
      </w:r>
    </w:p>
    <w:p w14:paraId="4B2CF4A0" w14:textId="133A456C" w:rsidR="00467040" w:rsidRDefault="00467040" w:rsidP="00467040">
      <w:pPr>
        <w:autoSpaceDE w:val="0"/>
        <w:autoSpaceDN w:val="0"/>
        <w:adjustRightInd w:val="0"/>
        <w:spacing w:after="120" w:line="240" w:lineRule="auto"/>
        <w:jc w:val="both"/>
        <w:rPr>
          <w:rFonts w:ascii="Times New Roman" w:hAnsi="Times New Roman" w:cs="Times New Roman"/>
          <w:bCs/>
          <w:szCs w:val="24"/>
          <w:lang w:eastAsia="ar-SA"/>
        </w:rPr>
      </w:pPr>
      <w:r w:rsidRPr="00EB14E4">
        <w:rPr>
          <w:rFonts w:ascii="Times New Roman" w:hAnsi="Times New Roman" w:cs="Times New Roman"/>
          <w:bCs/>
          <w:szCs w:val="24"/>
          <w:lang w:eastAsia="ar-SA"/>
        </w:rPr>
        <w:t xml:space="preserve">Il territorio comunale è ricco di realtà associative (associazioni culturali, di volontariato e solidarietà sociale, d’arma e protezione civile, sportive) che collaborano attivamente con l’Amministrazione </w:t>
      </w:r>
      <w:r>
        <w:rPr>
          <w:rFonts w:ascii="Times New Roman" w:hAnsi="Times New Roman" w:cs="Times New Roman"/>
          <w:bCs/>
          <w:szCs w:val="24"/>
          <w:lang w:eastAsia="ar-SA"/>
        </w:rPr>
        <w:t>C</w:t>
      </w:r>
      <w:r w:rsidRPr="00EB14E4">
        <w:rPr>
          <w:rFonts w:ascii="Times New Roman" w:hAnsi="Times New Roman" w:cs="Times New Roman"/>
          <w:bCs/>
          <w:szCs w:val="24"/>
          <w:lang w:eastAsia="ar-SA"/>
        </w:rPr>
        <w:t>omunale per la realizzazione e promozione di eventi e manifestazioni.</w:t>
      </w:r>
      <w:r>
        <w:rPr>
          <w:rFonts w:ascii="Times New Roman" w:hAnsi="Times New Roman" w:cs="Times New Roman"/>
          <w:bCs/>
          <w:szCs w:val="24"/>
          <w:lang w:eastAsia="ar-SA"/>
        </w:rPr>
        <w:t xml:space="preserve"> </w:t>
      </w:r>
      <w:r w:rsidRPr="00EB14E4">
        <w:rPr>
          <w:rFonts w:ascii="Times New Roman" w:hAnsi="Times New Roman" w:cs="Times New Roman"/>
          <w:bCs/>
          <w:szCs w:val="24"/>
          <w:lang w:eastAsia="ar-SA"/>
        </w:rPr>
        <w:t xml:space="preserve">Sono presenti impianti </w:t>
      </w:r>
      <w:proofErr w:type="gramStart"/>
      <w:r w:rsidRPr="00EB14E4">
        <w:rPr>
          <w:rFonts w:ascii="Times New Roman" w:hAnsi="Times New Roman" w:cs="Times New Roman"/>
          <w:bCs/>
          <w:szCs w:val="24"/>
          <w:lang w:eastAsia="ar-SA"/>
        </w:rPr>
        <w:t>sportivi</w:t>
      </w:r>
      <w:proofErr w:type="gramEnd"/>
      <w:r>
        <w:rPr>
          <w:rFonts w:ascii="Times New Roman" w:hAnsi="Times New Roman" w:cs="Times New Roman"/>
          <w:bCs/>
          <w:szCs w:val="24"/>
          <w:lang w:eastAsia="ar-SA"/>
        </w:rPr>
        <w:t xml:space="preserve"> </w:t>
      </w:r>
      <w:r w:rsidR="00293518">
        <w:rPr>
          <w:rFonts w:ascii="Times New Roman" w:hAnsi="Times New Roman" w:cs="Times New Roman"/>
          <w:bCs/>
          <w:szCs w:val="24"/>
          <w:lang w:eastAsia="ar-SA"/>
        </w:rPr>
        <w:t xml:space="preserve">tra cui il </w:t>
      </w:r>
      <w:r>
        <w:rPr>
          <w:rFonts w:ascii="Times New Roman" w:hAnsi="Times New Roman" w:cs="Times New Roman"/>
          <w:bCs/>
          <w:szCs w:val="24"/>
          <w:lang w:eastAsia="ar-SA"/>
        </w:rPr>
        <w:t>Palazzetto d</w:t>
      </w:r>
      <w:r w:rsidR="00293518">
        <w:rPr>
          <w:rFonts w:ascii="Times New Roman" w:hAnsi="Times New Roman" w:cs="Times New Roman"/>
          <w:bCs/>
          <w:szCs w:val="24"/>
          <w:lang w:eastAsia="ar-SA"/>
        </w:rPr>
        <w:t>i Via Conti</w:t>
      </w:r>
      <w:r w:rsidRPr="00EB14E4">
        <w:rPr>
          <w:rFonts w:ascii="Times New Roman" w:hAnsi="Times New Roman" w:cs="Times New Roman"/>
          <w:bCs/>
          <w:szCs w:val="24"/>
          <w:lang w:eastAsia="ar-SA"/>
        </w:rPr>
        <w:t xml:space="preserve">, un teatro comunale (Palazzo Terragni), la Biblioteca Civica e il Museo di Arte Contemporanea, significativi edifici storici quali le sei-settecentesche Villa Reati – </w:t>
      </w:r>
      <w:proofErr w:type="spellStart"/>
      <w:r w:rsidRPr="00EB14E4">
        <w:rPr>
          <w:rFonts w:ascii="Times New Roman" w:hAnsi="Times New Roman" w:cs="Times New Roman"/>
          <w:bCs/>
          <w:szCs w:val="24"/>
          <w:lang w:eastAsia="ar-SA"/>
        </w:rPr>
        <w:t>Baldironi</w:t>
      </w:r>
      <w:proofErr w:type="spellEnd"/>
      <w:r w:rsidRPr="00EB14E4">
        <w:rPr>
          <w:rFonts w:ascii="Times New Roman" w:hAnsi="Times New Roman" w:cs="Times New Roman"/>
          <w:bCs/>
          <w:szCs w:val="24"/>
          <w:lang w:eastAsia="ar-SA"/>
        </w:rPr>
        <w:t xml:space="preserve">, Villa Candiani-Battaglia-Magatti, Villa Mussi, la </w:t>
      </w:r>
      <w:r>
        <w:rPr>
          <w:rFonts w:ascii="Times New Roman" w:hAnsi="Times New Roman" w:cs="Times New Roman"/>
          <w:bCs/>
          <w:szCs w:val="24"/>
          <w:lang w:eastAsia="ar-SA"/>
        </w:rPr>
        <w:t>C</w:t>
      </w:r>
      <w:r w:rsidRPr="00EB14E4">
        <w:rPr>
          <w:rFonts w:ascii="Times New Roman" w:hAnsi="Times New Roman" w:cs="Times New Roman"/>
          <w:bCs/>
          <w:szCs w:val="24"/>
          <w:lang w:eastAsia="ar-SA"/>
        </w:rPr>
        <w:t>hiesa prepositurale dei SS Pietro e Paolo, gli oratori dell’Assunta e di San Carlo.</w:t>
      </w:r>
    </w:p>
    <w:p w14:paraId="60171FA5" w14:textId="51826A71" w:rsidR="00293518" w:rsidRPr="00293518" w:rsidRDefault="00293518" w:rsidP="00293518">
      <w:pPr>
        <w:pStyle w:val="Standard"/>
        <w:jc w:val="both"/>
        <w:rPr>
          <w:rFonts w:eastAsiaTheme="minorHAnsi" w:cs="Times New Roman"/>
          <w:bCs/>
          <w:kern w:val="0"/>
          <w:sz w:val="22"/>
          <w:lang w:eastAsia="ar-SA" w:bidi="ar-SA"/>
        </w:rPr>
      </w:pPr>
      <w:r w:rsidRPr="00293518">
        <w:rPr>
          <w:rFonts w:eastAsiaTheme="minorHAnsi" w:cs="Times New Roman"/>
          <w:bCs/>
          <w:kern w:val="0"/>
          <w:sz w:val="22"/>
          <w:lang w:eastAsia="ar-SA" w:bidi="ar-SA"/>
        </w:rPr>
        <w:t>Sono presenti 7 Parrocchie che, nel periodo estivo, in concomitanza con la chiusura delle scuole, organizzano tradizionalmente</w:t>
      </w:r>
      <w:r>
        <w:rPr>
          <w:rFonts w:eastAsiaTheme="minorHAnsi" w:cs="Times New Roman"/>
          <w:bCs/>
          <w:kern w:val="0"/>
          <w:sz w:val="22"/>
          <w:lang w:eastAsia="ar-SA" w:bidi="ar-SA"/>
        </w:rPr>
        <w:t xml:space="preserve"> per n. 5 settimane</w:t>
      </w:r>
      <w:r w:rsidRPr="00293518">
        <w:rPr>
          <w:rFonts w:eastAsiaTheme="minorHAnsi" w:cs="Times New Roman"/>
          <w:bCs/>
          <w:kern w:val="0"/>
          <w:sz w:val="22"/>
          <w:lang w:eastAsia="ar-SA" w:bidi="ar-SA"/>
        </w:rPr>
        <w:t xml:space="preserve"> l'</w:t>
      </w:r>
      <w:r>
        <w:rPr>
          <w:rFonts w:eastAsiaTheme="minorHAnsi" w:cs="Times New Roman"/>
          <w:bCs/>
          <w:kern w:val="0"/>
          <w:sz w:val="22"/>
          <w:lang w:eastAsia="ar-SA" w:bidi="ar-SA"/>
        </w:rPr>
        <w:t>O</w:t>
      </w:r>
      <w:r w:rsidRPr="00293518">
        <w:rPr>
          <w:rFonts w:eastAsiaTheme="minorHAnsi" w:cs="Times New Roman"/>
          <w:bCs/>
          <w:kern w:val="0"/>
          <w:sz w:val="22"/>
          <w:lang w:eastAsia="ar-SA" w:bidi="ar-SA"/>
        </w:rPr>
        <w:t>ratorio feriale rivolto agli alunni della scuola primaria</w:t>
      </w:r>
      <w:r>
        <w:rPr>
          <w:rFonts w:eastAsiaTheme="minorHAnsi" w:cs="Times New Roman"/>
          <w:bCs/>
          <w:kern w:val="0"/>
          <w:sz w:val="22"/>
          <w:lang w:eastAsia="ar-SA" w:bidi="ar-SA"/>
        </w:rPr>
        <w:t xml:space="preserve"> </w:t>
      </w:r>
      <w:r w:rsidRPr="00293518">
        <w:rPr>
          <w:rFonts w:eastAsiaTheme="minorHAnsi" w:cs="Times New Roman"/>
          <w:bCs/>
          <w:kern w:val="0"/>
          <w:sz w:val="22"/>
          <w:lang w:eastAsia="ar-SA" w:bidi="ar-SA"/>
        </w:rPr>
        <w:t>e agli alunni delle scuole secondarie di primo grado</w:t>
      </w:r>
      <w:r>
        <w:rPr>
          <w:rFonts w:eastAsiaTheme="minorHAnsi" w:cs="Times New Roman"/>
          <w:bCs/>
          <w:kern w:val="0"/>
          <w:sz w:val="22"/>
          <w:lang w:eastAsia="ar-SA" w:bidi="ar-SA"/>
        </w:rPr>
        <w:t>,</w:t>
      </w:r>
      <w:r w:rsidRPr="00293518">
        <w:rPr>
          <w:rFonts w:eastAsiaTheme="minorHAnsi" w:cs="Times New Roman"/>
          <w:bCs/>
          <w:kern w:val="0"/>
          <w:sz w:val="22"/>
          <w:lang w:eastAsia="ar-SA" w:bidi="ar-SA"/>
        </w:rPr>
        <w:t xml:space="preserve"> con il contributo e sostegno dell’Amministrazione comunale.</w:t>
      </w:r>
    </w:p>
    <w:p w14:paraId="5E846325" w14:textId="77777777" w:rsidR="008C016D" w:rsidRPr="009B22EC" w:rsidRDefault="008C016D" w:rsidP="008C016D">
      <w:pPr>
        <w:rPr>
          <w:rFonts w:ascii="Times New Roman" w:hAnsi="Times New Roman" w:cs="Times New Roman"/>
          <w:b/>
          <w:sz w:val="24"/>
          <w:szCs w:val="24"/>
          <w:lang w:eastAsia="ar-SA"/>
        </w:rPr>
      </w:pPr>
    </w:p>
    <w:p w14:paraId="208377EE" w14:textId="54AD5181" w:rsidR="00467040" w:rsidRPr="00467040" w:rsidRDefault="00032BD7" w:rsidP="008C016D">
      <w:pPr>
        <w:rPr>
          <w:rFonts w:ascii="Times New Roman" w:hAnsi="Times New Roman" w:cs="Times New Roman"/>
          <w:b/>
          <w:sz w:val="24"/>
          <w:szCs w:val="24"/>
          <w:lang w:eastAsia="ar-SA"/>
        </w:rPr>
      </w:pPr>
      <w:r w:rsidRPr="00467040">
        <w:rPr>
          <w:rFonts w:ascii="Times New Roman" w:hAnsi="Times New Roman" w:cs="Times New Roman"/>
          <w:b/>
          <w:sz w:val="24"/>
          <w:szCs w:val="24"/>
          <w:lang w:eastAsia="ar-SA"/>
        </w:rPr>
        <w:t xml:space="preserve">DATI DEMOGRAFICI </w:t>
      </w:r>
      <w:r>
        <w:rPr>
          <w:rFonts w:ascii="Times New Roman" w:hAnsi="Times New Roman" w:cs="Times New Roman"/>
          <w:b/>
          <w:sz w:val="24"/>
          <w:szCs w:val="24"/>
          <w:lang w:eastAsia="ar-SA"/>
        </w:rPr>
        <w:t>E POPOLAZIONE SCOLASTICA</w:t>
      </w:r>
    </w:p>
    <w:p w14:paraId="66ADBEFB" w14:textId="7880469A" w:rsidR="00467040" w:rsidRPr="00EB14E4" w:rsidRDefault="00467040" w:rsidP="00467040">
      <w:pPr>
        <w:autoSpaceDE w:val="0"/>
        <w:autoSpaceDN w:val="0"/>
        <w:adjustRightInd w:val="0"/>
        <w:spacing w:after="120" w:line="240" w:lineRule="auto"/>
        <w:jc w:val="both"/>
        <w:rPr>
          <w:rFonts w:ascii="Times New Roman" w:hAnsi="Times New Roman" w:cs="Times New Roman"/>
          <w:bCs/>
          <w:szCs w:val="24"/>
          <w:lang w:eastAsia="ar-SA"/>
        </w:rPr>
      </w:pPr>
      <w:r w:rsidRPr="00EB14E4">
        <w:rPr>
          <w:rFonts w:ascii="Times New Roman" w:hAnsi="Times New Roman" w:cs="Times New Roman"/>
          <w:bCs/>
          <w:szCs w:val="24"/>
          <w:lang w:eastAsia="ar-SA"/>
        </w:rPr>
        <w:t xml:space="preserve">Lissone </w:t>
      </w:r>
      <w:r w:rsidRPr="004055C2">
        <w:rPr>
          <w:rFonts w:ascii="Times New Roman" w:hAnsi="Times New Roman" w:cs="Times New Roman"/>
          <w:bCs/>
          <w:szCs w:val="24"/>
          <w:lang w:eastAsia="ar-SA"/>
        </w:rPr>
        <w:t>conta 47.1</w:t>
      </w:r>
      <w:r w:rsidR="004055C2" w:rsidRPr="004055C2">
        <w:rPr>
          <w:rFonts w:ascii="Times New Roman" w:hAnsi="Times New Roman" w:cs="Times New Roman"/>
          <w:bCs/>
          <w:szCs w:val="24"/>
          <w:lang w:eastAsia="ar-SA"/>
        </w:rPr>
        <w:t>18</w:t>
      </w:r>
      <w:r w:rsidRPr="004055C2">
        <w:rPr>
          <w:rFonts w:ascii="Times New Roman" w:hAnsi="Times New Roman" w:cs="Times New Roman"/>
          <w:bCs/>
          <w:szCs w:val="24"/>
          <w:lang w:eastAsia="ar-SA"/>
        </w:rPr>
        <w:t xml:space="preserve"> abitanti (</w:t>
      </w:r>
      <w:r w:rsidR="004055C2" w:rsidRPr="004055C2">
        <w:rPr>
          <w:rFonts w:ascii="Times New Roman" w:hAnsi="Times New Roman" w:cs="Times New Roman"/>
          <w:bCs/>
          <w:szCs w:val="24"/>
          <w:lang w:eastAsia="ar-SA"/>
        </w:rPr>
        <w:t xml:space="preserve">dato al </w:t>
      </w:r>
      <w:r w:rsidRPr="004055C2">
        <w:rPr>
          <w:rFonts w:ascii="Times New Roman" w:hAnsi="Times New Roman" w:cs="Times New Roman"/>
          <w:bCs/>
          <w:szCs w:val="24"/>
          <w:lang w:eastAsia="ar-SA"/>
        </w:rPr>
        <w:t>31 dicembre 202</w:t>
      </w:r>
      <w:r w:rsidR="004055C2" w:rsidRPr="004055C2">
        <w:rPr>
          <w:rFonts w:ascii="Times New Roman" w:hAnsi="Times New Roman" w:cs="Times New Roman"/>
          <w:bCs/>
          <w:szCs w:val="24"/>
          <w:lang w:eastAsia="ar-SA"/>
        </w:rPr>
        <w:t>5</w:t>
      </w:r>
      <w:r w:rsidRPr="004055C2">
        <w:rPr>
          <w:rFonts w:ascii="Times New Roman" w:hAnsi="Times New Roman" w:cs="Times New Roman"/>
          <w:bCs/>
          <w:szCs w:val="24"/>
          <w:lang w:eastAsia="ar-SA"/>
        </w:rPr>
        <w:t>).</w:t>
      </w:r>
      <w:r w:rsidRPr="00EB14E4">
        <w:rPr>
          <w:rFonts w:ascii="Times New Roman" w:hAnsi="Times New Roman" w:cs="Times New Roman"/>
          <w:bCs/>
          <w:szCs w:val="24"/>
          <w:lang w:eastAsia="ar-SA"/>
        </w:rPr>
        <w:t xml:space="preserve"> Lo sviluppo demografico del Comune, che ha caratterizzato tutto il </w:t>
      </w:r>
      <w:hyperlink r:id="rId7" w:tooltip="XX secolo" w:history="1">
        <w:r w:rsidRPr="00EB14E4">
          <w:rPr>
            <w:rFonts w:ascii="Times New Roman" w:hAnsi="Times New Roman" w:cs="Times New Roman"/>
            <w:bCs/>
            <w:szCs w:val="24"/>
            <w:lang w:eastAsia="ar-SA"/>
          </w:rPr>
          <w:t>XX secolo</w:t>
        </w:r>
      </w:hyperlink>
      <w:r w:rsidRPr="00EB14E4">
        <w:rPr>
          <w:rFonts w:ascii="Times New Roman" w:hAnsi="Times New Roman" w:cs="Times New Roman"/>
          <w:bCs/>
          <w:szCs w:val="24"/>
          <w:lang w:eastAsia="ar-SA"/>
        </w:rPr>
        <w:t xml:space="preserve">, ha registrato un'ulteriore accelerazione negli ultimi anni per effetto dell'intensificarsi dell'espansione immobiliare. La densità di popolazione ha raggiunto così livelli significativi, con </w:t>
      </w:r>
      <w:r>
        <w:rPr>
          <w:rFonts w:ascii="Times New Roman" w:hAnsi="Times New Roman" w:cs="Times New Roman"/>
          <w:bCs/>
          <w:szCs w:val="24"/>
          <w:lang w:eastAsia="ar-SA"/>
        </w:rPr>
        <w:t>circa</w:t>
      </w:r>
      <w:r w:rsidRPr="00EB14E4">
        <w:rPr>
          <w:rFonts w:ascii="Times New Roman" w:hAnsi="Times New Roman" w:cs="Times New Roman"/>
          <w:bCs/>
          <w:szCs w:val="24"/>
          <w:lang w:eastAsia="ar-SA"/>
        </w:rPr>
        <w:t xml:space="preserve"> 5000 abitanti per km.</w:t>
      </w:r>
    </w:p>
    <w:p w14:paraId="612350D6" w14:textId="139836FE" w:rsidR="0007648A" w:rsidRPr="0007648A" w:rsidRDefault="0007648A" w:rsidP="0007648A">
      <w:pPr>
        <w:pStyle w:val="Standard"/>
        <w:jc w:val="both"/>
        <w:rPr>
          <w:rFonts w:eastAsiaTheme="minorHAnsi" w:cs="Times New Roman"/>
          <w:bCs/>
          <w:kern w:val="0"/>
          <w:sz w:val="22"/>
          <w:lang w:eastAsia="ar-SA" w:bidi="ar-SA"/>
        </w:rPr>
      </w:pPr>
      <w:r w:rsidRPr="0007648A">
        <w:rPr>
          <w:rFonts w:eastAsiaTheme="minorHAnsi" w:cs="Times New Roman"/>
          <w:bCs/>
          <w:kern w:val="0"/>
          <w:sz w:val="22"/>
          <w:lang w:eastAsia="ar-SA" w:bidi="ar-SA"/>
        </w:rPr>
        <w:t xml:space="preserve">Nel Comune di Lissone esistono complessivamente 15 strutture statali (5 plessi di scuola dell’infanzia e 6 scuole primarie) e 2 Scuole secondarie di secondo grado (Istituto di Istruzione Superiore “Giuseppe Meroni” e Istituto di Istruzione Superiore “Europa Unita”, oltre ad una succursale del Liceo statale “Giuseppe Parini” di Seregno e </w:t>
      </w:r>
      <w:proofErr w:type="spellStart"/>
      <w:r w:rsidRPr="0007648A">
        <w:rPr>
          <w:rFonts w:eastAsiaTheme="minorHAnsi" w:cs="Times New Roman"/>
          <w:bCs/>
          <w:kern w:val="0"/>
          <w:sz w:val="22"/>
          <w:lang w:eastAsia="ar-SA" w:bidi="ar-SA"/>
        </w:rPr>
        <w:t>dall’a.s.</w:t>
      </w:r>
      <w:proofErr w:type="spellEnd"/>
      <w:r w:rsidRPr="0007648A">
        <w:rPr>
          <w:rFonts w:eastAsiaTheme="minorHAnsi" w:cs="Times New Roman"/>
          <w:bCs/>
          <w:kern w:val="0"/>
          <w:sz w:val="22"/>
          <w:lang w:eastAsia="ar-SA" w:bidi="ar-SA"/>
        </w:rPr>
        <w:t xml:space="preserve"> 2022-2023 di una succursale di </w:t>
      </w:r>
      <w:proofErr w:type="spellStart"/>
      <w:r w:rsidRPr="0007648A">
        <w:rPr>
          <w:rFonts w:eastAsiaTheme="minorHAnsi" w:cs="Times New Roman"/>
          <w:bCs/>
          <w:kern w:val="0"/>
          <w:sz w:val="22"/>
          <w:lang w:eastAsia="ar-SA" w:bidi="ar-SA"/>
        </w:rPr>
        <w:t>Ecfop</w:t>
      </w:r>
      <w:proofErr w:type="spellEnd"/>
      <w:r w:rsidRPr="0007648A">
        <w:rPr>
          <w:rFonts w:eastAsiaTheme="minorHAnsi" w:cs="Times New Roman"/>
          <w:bCs/>
          <w:kern w:val="0"/>
          <w:sz w:val="22"/>
          <w:lang w:eastAsia="ar-SA" w:bidi="ar-SA"/>
        </w:rPr>
        <w:t xml:space="preserve"> – Ente cattolico di formazione professionale con sede centrale a Monza). È attivo</w:t>
      </w:r>
      <w:r w:rsidR="009B22EC">
        <w:rPr>
          <w:rFonts w:eastAsiaTheme="minorHAnsi" w:cs="Times New Roman"/>
          <w:bCs/>
          <w:kern w:val="0"/>
          <w:sz w:val="22"/>
          <w:lang w:eastAsia="ar-SA" w:bidi="ar-SA"/>
        </w:rPr>
        <w:t>,</w:t>
      </w:r>
      <w:r w:rsidRPr="0007648A">
        <w:rPr>
          <w:rFonts w:eastAsiaTheme="minorHAnsi" w:cs="Times New Roman"/>
          <w:bCs/>
          <w:kern w:val="0"/>
          <w:sz w:val="22"/>
          <w:lang w:eastAsia="ar-SA" w:bidi="ar-SA"/>
        </w:rPr>
        <w:t xml:space="preserve"> inoltre</w:t>
      </w:r>
      <w:r w:rsidR="009B22EC">
        <w:rPr>
          <w:rFonts w:eastAsiaTheme="minorHAnsi" w:cs="Times New Roman"/>
          <w:bCs/>
          <w:kern w:val="0"/>
          <w:sz w:val="22"/>
          <w:lang w:eastAsia="ar-SA" w:bidi="ar-SA"/>
        </w:rPr>
        <w:t>,</w:t>
      </w:r>
      <w:r w:rsidRPr="0007648A">
        <w:rPr>
          <w:rFonts w:eastAsiaTheme="minorHAnsi" w:cs="Times New Roman"/>
          <w:bCs/>
          <w:kern w:val="0"/>
          <w:sz w:val="22"/>
          <w:lang w:eastAsia="ar-SA" w:bidi="ar-SA"/>
        </w:rPr>
        <w:t xml:space="preserve"> un Centro di formazione e apprendimento permanente per l’istruzione degli adulti.</w:t>
      </w:r>
    </w:p>
    <w:p w14:paraId="22E0FF54" w14:textId="5ECEEF42" w:rsidR="0007648A" w:rsidRPr="0007648A" w:rsidRDefault="0007648A" w:rsidP="0007648A">
      <w:pPr>
        <w:pStyle w:val="Standard"/>
        <w:jc w:val="both"/>
        <w:rPr>
          <w:rFonts w:eastAsiaTheme="minorHAnsi" w:cs="Times New Roman"/>
          <w:bCs/>
          <w:kern w:val="0"/>
          <w:sz w:val="22"/>
          <w:lang w:eastAsia="ar-SA" w:bidi="ar-SA"/>
        </w:rPr>
      </w:pPr>
      <w:r w:rsidRPr="0007648A">
        <w:rPr>
          <w:rFonts w:eastAsiaTheme="minorHAnsi" w:cs="Times New Roman"/>
          <w:bCs/>
          <w:kern w:val="0"/>
          <w:sz w:val="22"/>
          <w:lang w:eastAsia="ar-SA" w:bidi="ar-SA"/>
        </w:rPr>
        <w:t>Le scuole primarie e secondarie di primo e secondo grado sono statali, mentre per le scuole dell’infanzia, l’offerta</w:t>
      </w:r>
      <w:r w:rsidR="00755FA9">
        <w:rPr>
          <w:rFonts w:eastAsiaTheme="minorHAnsi" w:cs="Times New Roman"/>
          <w:bCs/>
          <w:kern w:val="0"/>
          <w:sz w:val="22"/>
          <w:lang w:eastAsia="ar-SA" w:bidi="ar-SA"/>
        </w:rPr>
        <w:t xml:space="preserve"> statale è integrata </w:t>
      </w:r>
      <w:r w:rsidRPr="0007648A">
        <w:rPr>
          <w:rFonts w:eastAsiaTheme="minorHAnsi" w:cs="Times New Roman"/>
          <w:bCs/>
          <w:kern w:val="0"/>
          <w:sz w:val="22"/>
          <w:lang w:eastAsia="ar-SA" w:bidi="ar-SA"/>
        </w:rPr>
        <w:t xml:space="preserve">si </w:t>
      </w:r>
      <w:r w:rsidR="00755FA9">
        <w:rPr>
          <w:rFonts w:eastAsiaTheme="minorHAnsi" w:cs="Times New Roman"/>
          <w:bCs/>
          <w:kern w:val="0"/>
          <w:sz w:val="22"/>
          <w:lang w:eastAsia="ar-SA" w:bidi="ar-SA"/>
        </w:rPr>
        <w:t>da</w:t>
      </w:r>
      <w:r w:rsidRPr="0007648A">
        <w:rPr>
          <w:rFonts w:eastAsiaTheme="minorHAnsi" w:cs="Times New Roman"/>
          <w:bCs/>
          <w:kern w:val="0"/>
          <w:sz w:val="22"/>
          <w:lang w:eastAsia="ar-SA" w:bidi="ar-SA"/>
        </w:rPr>
        <w:t xml:space="preserve"> quattro scuole paritarie</w:t>
      </w:r>
      <w:r w:rsidR="00755FA9">
        <w:rPr>
          <w:rFonts w:eastAsiaTheme="minorHAnsi" w:cs="Times New Roman"/>
          <w:bCs/>
          <w:kern w:val="0"/>
          <w:sz w:val="22"/>
          <w:lang w:eastAsia="ar-SA" w:bidi="ar-SA"/>
        </w:rPr>
        <w:t xml:space="preserve"> nelle quali sono inoltre attivate </w:t>
      </w:r>
      <w:proofErr w:type="gramStart"/>
      <w:r w:rsidR="00755FA9">
        <w:rPr>
          <w:rFonts w:eastAsiaTheme="minorHAnsi" w:cs="Times New Roman"/>
          <w:bCs/>
          <w:kern w:val="0"/>
          <w:sz w:val="22"/>
          <w:lang w:eastAsia="ar-SA" w:bidi="ar-SA"/>
        </w:rPr>
        <w:t>4</w:t>
      </w:r>
      <w:proofErr w:type="gramEnd"/>
      <w:r w:rsidR="00755FA9">
        <w:rPr>
          <w:rFonts w:eastAsiaTheme="minorHAnsi" w:cs="Times New Roman"/>
          <w:bCs/>
          <w:kern w:val="0"/>
          <w:sz w:val="22"/>
          <w:lang w:eastAsia="ar-SA" w:bidi="ar-SA"/>
        </w:rPr>
        <w:t xml:space="preserve"> sezioni Primavera</w:t>
      </w:r>
      <w:r w:rsidRPr="0007648A">
        <w:rPr>
          <w:rFonts w:eastAsiaTheme="minorHAnsi" w:cs="Times New Roman"/>
          <w:bCs/>
          <w:kern w:val="0"/>
          <w:sz w:val="22"/>
          <w:lang w:eastAsia="ar-SA" w:bidi="ar-SA"/>
        </w:rPr>
        <w:t>.</w:t>
      </w:r>
    </w:p>
    <w:p w14:paraId="2CB00E56" w14:textId="77777777" w:rsidR="0007648A" w:rsidRPr="0007648A" w:rsidRDefault="0007648A" w:rsidP="0007648A">
      <w:pPr>
        <w:pStyle w:val="Paragrafoelenco"/>
        <w:ind w:left="0" w:right="61"/>
        <w:jc w:val="both"/>
        <w:rPr>
          <w:rFonts w:ascii="Times New Roman" w:hAnsi="Times New Roman" w:cs="Times New Roman"/>
          <w:bCs/>
          <w:szCs w:val="24"/>
          <w:lang w:eastAsia="ar-SA"/>
        </w:rPr>
      </w:pPr>
      <w:r w:rsidRPr="0007648A">
        <w:rPr>
          <w:rFonts w:ascii="Times New Roman" w:hAnsi="Times New Roman" w:cs="Times New Roman"/>
          <w:bCs/>
          <w:szCs w:val="24"/>
          <w:lang w:eastAsia="ar-SA"/>
        </w:rPr>
        <w:t>L’assetto della rete delle Istituzioni scolastiche è ormai consolidato nei tre Istituti comprensivi (Istituto Comprensivo I Via Mariani, Istituto Comprensivo II R. L. Montalcini e Istituto Comprensivo III De Amicis) quale espressione della continuità educativa-didattica tra scuola dell’infanzia, scuola primaria e scuola secondaria di primo grado.</w:t>
      </w:r>
    </w:p>
    <w:p w14:paraId="7922C464" w14:textId="465D3316" w:rsidR="0007648A" w:rsidRPr="0007648A" w:rsidRDefault="0007648A" w:rsidP="0007648A">
      <w:pPr>
        <w:pStyle w:val="Paragrafoelenco"/>
        <w:ind w:left="0" w:right="61"/>
        <w:jc w:val="both"/>
        <w:rPr>
          <w:rFonts w:ascii="Times New Roman" w:hAnsi="Times New Roman" w:cs="Times New Roman"/>
          <w:bCs/>
          <w:szCs w:val="24"/>
          <w:lang w:eastAsia="ar-SA"/>
        </w:rPr>
      </w:pPr>
      <w:r w:rsidRPr="0007648A">
        <w:rPr>
          <w:rFonts w:ascii="Times New Roman" w:hAnsi="Times New Roman" w:cs="Times New Roman"/>
          <w:bCs/>
          <w:szCs w:val="24"/>
          <w:lang w:eastAsia="ar-SA"/>
        </w:rPr>
        <w:t xml:space="preserve">Sono altresì presenti numerose strutture di offerta per la prima infanzia: un asilo nido comunale con </w:t>
      </w:r>
      <w:r w:rsidR="00E95EC6">
        <w:rPr>
          <w:rFonts w:ascii="Times New Roman" w:hAnsi="Times New Roman" w:cs="Times New Roman"/>
          <w:bCs/>
          <w:szCs w:val="24"/>
          <w:lang w:eastAsia="ar-SA"/>
        </w:rPr>
        <w:t xml:space="preserve">una </w:t>
      </w:r>
      <w:r w:rsidRPr="0007648A">
        <w:rPr>
          <w:rFonts w:ascii="Times New Roman" w:hAnsi="Times New Roman" w:cs="Times New Roman"/>
          <w:bCs/>
          <w:szCs w:val="24"/>
          <w:lang w:eastAsia="ar-SA"/>
        </w:rPr>
        <w:t xml:space="preserve">sezione Primavera e </w:t>
      </w:r>
      <w:r w:rsidRPr="00AD4D2F">
        <w:rPr>
          <w:rFonts w:ascii="Times New Roman" w:hAnsi="Times New Roman" w:cs="Times New Roman"/>
          <w:bCs/>
          <w:szCs w:val="24"/>
          <w:lang w:eastAsia="ar-SA"/>
        </w:rPr>
        <w:t>altre 13 strutture private.</w:t>
      </w:r>
    </w:p>
    <w:p w14:paraId="45D537A6" w14:textId="77777777" w:rsidR="0007648A" w:rsidRPr="0007648A" w:rsidRDefault="0007648A" w:rsidP="0007648A">
      <w:pPr>
        <w:pStyle w:val="Paragrafoelenco"/>
        <w:ind w:left="0" w:right="61"/>
        <w:jc w:val="both"/>
        <w:rPr>
          <w:rFonts w:ascii="Times New Roman" w:hAnsi="Times New Roman" w:cs="Times New Roman"/>
          <w:bCs/>
          <w:szCs w:val="24"/>
          <w:lang w:eastAsia="ar-SA"/>
        </w:rPr>
      </w:pPr>
    </w:p>
    <w:p w14:paraId="1FC4B6F2" w14:textId="5601013A" w:rsidR="0007648A" w:rsidRDefault="0007648A" w:rsidP="00586067">
      <w:pPr>
        <w:pStyle w:val="Paragrafoelenco"/>
        <w:ind w:left="0" w:right="61"/>
        <w:jc w:val="both"/>
        <w:rPr>
          <w:rFonts w:ascii="Times New Roman" w:hAnsi="Times New Roman" w:cs="Times New Roman"/>
          <w:bCs/>
          <w:szCs w:val="24"/>
          <w:lang w:eastAsia="ar-SA"/>
        </w:rPr>
      </w:pPr>
      <w:r w:rsidRPr="00586067">
        <w:rPr>
          <w:rFonts w:ascii="Times New Roman" w:hAnsi="Times New Roman" w:cs="Times New Roman"/>
          <w:bCs/>
          <w:szCs w:val="24"/>
          <w:lang w:eastAsia="ar-SA"/>
        </w:rPr>
        <w:t>La tabella e il grafico seguenti mostrano la distribuzione della popolazione residente a Lissone al 31.12.202</w:t>
      </w:r>
      <w:r w:rsidR="00586067">
        <w:rPr>
          <w:rFonts w:ascii="Times New Roman" w:hAnsi="Times New Roman" w:cs="Times New Roman"/>
          <w:bCs/>
          <w:szCs w:val="24"/>
          <w:lang w:eastAsia="ar-SA"/>
        </w:rPr>
        <w:t>5</w:t>
      </w:r>
      <w:r w:rsidRPr="00586067">
        <w:rPr>
          <w:rFonts w:ascii="Times New Roman" w:hAnsi="Times New Roman" w:cs="Times New Roman"/>
          <w:bCs/>
          <w:szCs w:val="24"/>
          <w:lang w:eastAsia="ar-SA"/>
        </w:rPr>
        <w:t xml:space="preserve"> per età scolastica (servizi educativi prima infanzia 0 3 anni, scuole dell’infanzia 3 5 anni, scuole primarie, scuole secondarie di primo e secondo grado).</w:t>
      </w:r>
    </w:p>
    <w:p w14:paraId="2BDCBB17" w14:textId="77777777" w:rsidR="00586067" w:rsidRDefault="00586067" w:rsidP="00586067">
      <w:pPr>
        <w:pStyle w:val="Paragrafoelenco"/>
        <w:ind w:left="0" w:right="61"/>
        <w:jc w:val="both"/>
        <w:rPr>
          <w:rFonts w:ascii="Times New Roman" w:hAnsi="Times New Roman" w:cs="Times New Roman"/>
          <w:bCs/>
          <w:szCs w:val="24"/>
          <w:lang w:eastAsia="ar-SA"/>
        </w:rPr>
      </w:pPr>
    </w:p>
    <w:p w14:paraId="6D386CD5" w14:textId="348271CD" w:rsidR="00586067" w:rsidRDefault="00586067" w:rsidP="00586067">
      <w:pPr>
        <w:rPr>
          <w:b/>
          <w:bCs/>
        </w:rPr>
      </w:pPr>
      <w:r>
        <w:rPr>
          <w:b/>
          <w:bCs/>
        </w:rPr>
        <w:t xml:space="preserve">DISTRIBUZIONE DELLA POPOLAZIONE SCOLASTICA (al 31.12.2025) </w:t>
      </w:r>
    </w:p>
    <w:p w14:paraId="28B4294E" w14:textId="77777777" w:rsidR="00586067" w:rsidRDefault="00586067" w:rsidP="00586067">
      <w:pPr>
        <w:rPr>
          <w:b/>
          <w:bCs/>
        </w:rPr>
      </w:pPr>
    </w:p>
    <w:tbl>
      <w:tblPr>
        <w:tblpPr w:leftFromText="141" w:rightFromText="141" w:vertAnchor="text" w:tblpXSpec="center" w:tblpY="1"/>
        <w:tblOverlap w:val="never"/>
        <w:tblW w:w="7696" w:type="dxa"/>
        <w:tblCellMar>
          <w:left w:w="0" w:type="dxa"/>
          <w:right w:w="0" w:type="dxa"/>
        </w:tblCellMar>
        <w:tblLook w:val="04A0" w:firstRow="1" w:lastRow="0" w:firstColumn="1" w:lastColumn="0" w:noHBand="0" w:noVBand="1"/>
      </w:tblPr>
      <w:tblGrid>
        <w:gridCol w:w="7846"/>
      </w:tblGrid>
      <w:tr w:rsidR="00586067" w:rsidRPr="00CB35F3" w14:paraId="1A4D2D20" w14:textId="77777777" w:rsidTr="00B23B4A">
        <w:trPr>
          <w:trHeight w:val="315"/>
        </w:trPr>
        <w:tc>
          <w:tcPr>
            <w:tcW w:w="7696" w:type="dxa"/>
            <w:noWrap/>
            <w:tcMar>
              <w:top w:w="0" w:type="dxa"/>
              <w:left w:w="70" w:type="dxa"/>
              <w:bottom w:w="0" w:type="dxa"/>
              <w:right w:w="70" w:type="dxa"/>
            </w:tcMar>
            <w:vAlign w:val="center"/>
            <w:hideMark/>
          </w:tcPr>
          <w:tbl>
            <w:tblPr>
              <w:tblW w:w="7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48"/>
              <w:gridCol w:w="930"/>
              <w:gridCol w:w="1035"/>
              <w:gridCol w:w="1035"/>
              <w:gridCol w:w="930"/>
              <w:gridCol w:w="1035"/>
              <w:gridCol w:w="1035"/>
              <w:gridCol w:w="948"/>
            </w:tblGrid>
            <w:tr w:rsidR="00586067" w:rsidRPr="00CB35F3" w14:paraId="2604E517" w14:textId="77777777" w:rsidTr="00667B32">
              <w:trPr>
                <w:trHeight w:val="315"/>
              </w:trPr>
              <w:tc>
                <w:tcPr>
                  <w:tcW w:w="7696" w:type="dxa"/>
                  <w:gridSpan w:val="8"/>
                  <w:noWrap/>
                  <w:tcMar>
                    <w:top w:w="0" w:type="dxa"/>
                    <w:left w:w="70" w:type="dxa"/>
                    <w:bottom w:w="0" w:type="dxa"/>
                    <w:right w:w="70" w:type="dxa"/>
                  </w:tcMar>
                  <w:vAlign w:val="center"/>
                  <w:hideMark/>
                </w:tcPr>
                <w:p w14:paraId="22A16DFA" w14:textId="77777777" w:rsidR="00586067" w:rsidRPr="00CB35F3" w:rsidRDefault="00586067" w:rsidP="00B23B4A">
                  <w:pPr>
                    <w:framePr w:hSpace="141" w:wrap="around" w:vAnchor="text" w:hAnchor="text" w:xAlign="center" w:y="1"/>
                    <w:suppressOverlap/>
                    <w:rPr>
                      <w:b/>
                      <w:bCs/>
                    </w:rPr>
                  </w:pPr>
                </w:p>
              </w:tc>
            </w:tr>
            <w:tr w:rsidR="00586067" w:rsidRPr="00CB35F3" w14:paraId="0B305B7A" w14:textId="77777777" w:rsidTr="00667B32">
              <w:trPr>
                <w:trHeight w:val="330"/>
              </w:trPr>
              <w:tc>
                <w:tcPr>
                  <w:tcW w:w="748" w:type="dxa"/>
                  <w:noWrap/>
                  <w:tcMar>
                    <w:top w:w="0" w:type="dxa"/>
                    <w:left w:w="70" w:type="dxa"/>
                    <w:bottom w:w="0" w:type="dxa"/>
                    <w:right w:w="70" w:type="dxa"/>
                  </w:tcMar>
                  <w:vAlign w:val="center"/>
                  <w:hideMark/>
                </w:tcPr>
                <w:p w14:paraId="24D571F5" w14:textId="77777777" w:rsidR="00586067" w:rsidRPr="00CB35F3" w:rsidRDefault="00586067" w:rsidP="00B23B4A">
                  <w:pPr>
                    <w:framePr w:hSpace="141" w:wrap="around" w:vAnchor="text" w:hAnchor="text" w:xAlign="center" w:y="1"/>
                    <w:suppressOverlap/>
                    <w:rPr>
                      <w:b/>
                      <w:bCs/>
                    </w:rPr>
                  </w:pPr>
                </w:p>
              </w:tc>
              <w:tc>
                <w:tcPr>
                  <w:tcW w:w="930" w:type="dxa"/>
                  <w:noWrap/>
                  <w:tcMar>
                    <w:top w:w="0" w:type="dxa"/>
                    <w:left w:w="70" w:type="dxa"/>
                    <w:bottom w:w="0" w:type="dxa"/>
                    <w:right w:w="70" w:type="dxa"/>
                  </w:tcMar>
                  <w:vAlign w:val="bottom"/>
                  <w:hideMark/>
                </w:tcPr>
                <w:p w14:paraId="2B818C3D" w14:textId="77777777" w:rsidR="00586067" w:rsidRPr="00CB35F3" w:rsidRDefault="00586067" w:rsidP="00B23B4A">
                  <w:pPr>
                    <w:framePr w:hSpace="141" w:wrap="around" w:vAnchor="text" w:hAnchor="text" w:xAlign="center" w:y="1"/>
                    <w:suppressOverlap/>
                    <w:rPr>
                      <w:b/>
                      <w:bCs/>
                    </w:rPr>
                  </w:pPr>
                </w:p>
              </w:tc>
              <w:tc>
                <w:tcPr>
                  <w:tcW w:w="1035" w:type="dxa"/>
                  <w:noWrap/>
                  <w:tcMar>
                    <w:top w:w="0" w:type="dxa"/>
                    <w:left w:w="70" w:type="dxa"/>
                    <w:bottom w:w="0" w:type="dxa"/>
                    <w:right w:w="70" w:type="dxa"/>
                  </w:tcMar>
                  <w:vAlign w:val="bottom"/>
                  <w:hideMark/>
                </w:tcPr>
                <w:p w14:paraId="23EDB789" w14:textId="77777777" w:rsidR="00586067" w:rsidRPr="00CB35F3" w:rsidRDefault="00586067" w:rsidP="00B23B4A">
                  <w:pPr>
                    <w:framePr w:hSpace="141" w:wrap="around" w:vAnchor="text" w:hAnchor="text" w:xAlign="center" w:y="1"/>
                    <w:suppressOverlap/>
                    <w:rPr>
                      <w:b/>
                      <w:bCs/>
                    </w:rPr>
                  </w:pPr>
                </w:p>
              </w:tc>
              <w:tc>
                <w:tcPr>
                  <w:tcW w:w="1035" w:type="dxa"/>
                  <w:noWrap/>
                  <w:tcMar>
                    <w:top w:w="0" w:type="dxa"/>
                    <w:left w:w="70" w:type="dxa"/>
                    <w:bottom w:w="0" w:type="dxa"/>
                    <w:right w:w="70" w:type="dxa"/>
                  </w:tcMar>
                  <w:vAlign w:val="bottom"/>
                  <w:hideMark/>
                </w:tcPr>
                <w:p w14:paraId="71A6BF29" w14:textId="77777777" w:rsidR="00586067" w:rsidRPr="00CB35F3" w:rsidRDefault="00586067" w:rsidP="00B23B4A">
                  <w:pPr>
                    <w:framePr w:hSpace="141" w:wrap="around" w:vAnchor="text" w:hAnchor="text" w:xAlign="center" w:y="1"/>
                    <w:suppressOverlap/>
                    <w:rPr>
                      <w:b/>
                      <w:bCs/>
                    </w:rPr>
                  </w:pPr>
                </w:p>
              </w:tc>
              <w:tc>
                <w:tcPr>
                  <w:tcW w:w="930" w:type="dxa"/>
                  <w:noWrap/>
                  <w:tcMar>
                    <w:top w:w="0" w:type="dxa"/>
                    <w:left w:w="70" w:type="dxa"/>
                    <w:bottom w:w="0" w:type="dxa"/>
                    <w:right w:w="70" w:type="dxa"/>
                  </w:tcMar>
                  <w:vAlign w:val="bottom"/>
                  <w:hideMark/>
                </w:tcPr>
                <w:p w14:paraId="2500712C" w14:textId="77777777" w:rsidR="00586067" w:rsidRPr="00CB35F3" w:rsidRDefault="00586067" w:rsidP="00B23B4A">
                  <w:pPr>
                    <w:framePr w:hSpace="141" w:wrap="around" w:vAnchor="text" w:hAnchor="text" w:xAlign="center" w:y="1"/>
                    <w:suppressOverlap/>
                    <w:rPr>
                      <w:b/>
                      <w:bCs/>
                    </w:rPr>
                  </w:pPr>
                </w:p>
              </w:tc>
              <w:tc>
                <w:tcPr>
                  <w:tcW w:w="1035" w:type="dxa"/>
                  <w:noWrap/>
                  <w:tcMar>
                    <w:top w:w="0" w:type="dxa"/>
                    <w:left w:w="70" w:type="dxa"/>
                    <w:bottom w:w="0" w:type="dxa"/>
                    <w:right w:w="70" w:type="dxa"/>
                  </w:tcMar>
                  <w:vAlign w:val="bottom"/>
                  <w:hideMark/>
                </w:tcPr>
                <w:p w14:paraId="1D026068" w14:textId="77777777" w:rsidR="00586067" w:rsidRPr="00CB35F3" w:rsidRDefault="00586067" w:rsidP="00B23B4A">
                  <w:pPr>
                    <w:framePr w:hSpace="141" w:wrap="around" w:vAnchor="text" w:hAnchor="text" w:xAlign="center" w:y="1"/>
                    <w:suppressOverlap/>
                    <w:rPr>
                      <w:b/>
                      <w:bCs/>
                    </w:rPr>
                  </w:pPr>
                </w:p>
              </w:tc>
              <w:tc>
                <w:tcPr>
                  <w:tcW w:w="1035" w:type="dxa"/>
                  <w:noWrap/>
                  <w:tcMar>
                    <w:top w:w="0" w:type="dxa"/>
                    <w:left w:w="70" w:type="dxa"/>
                    <w:bottom w:w="0" w:type="dxa"/>
                    <w:right w:w="70" w:type="dxa"/>
                  </w:tcMar>
                  <w:vAlign w:val="bottom"/>
                  <w:hideMark/>
                </w:tcPr>
                <w:p w14:paraId="7F392AD4" w14:textId="77777777" w:rsidR="00586067" w:rsidRPr="00CB35F3" w:rsidRDefault="00586067" w:rsidP="00B23B4A">
                  <w:pPr>
                    <w:framePr w:hSpace="141" w:wrap="around" w:vAnchor="text" w:hAnchor="text" w:xAlign="center" w:y="1"/>
                    <w:suppressOverlap/>
                    <w:rPr>
                      <w:b/>
                      <w:bCs/>
                    </w:rPr>
                  </w:pPr>
                </w:p>
              </w:tc>
              <w:tc>
                <w:tcPr>
                  <w:tcW w:w="948" w:type="dxa"/>
                  <w:noWrap/>
                  <w:tcMar>
                    <w:top w:w="0" w:type="dxa"/>
                    <w:left w:w="70" w:type="dxa"/>
                    <w:bottom w:w="0" w:type="dxa"/>
                    <w:right w:w="70" w:type="dxa"/>
                  </w:tcMar>
                  <w:vAlign w:val="bottom"/>
                  <w:hideMark/>
                </w:tcPr>
                <w:p w14:paraId="4F2CF7EF" w14:textId="77777777" w:rsidR="00586067" w:rsidRPr="00CB35F3" w:rsidRDefault="00586067" w:rsidP="00B23B4A">
                  <w:pPr>
                    <w:framePr w:hSpace="141" w:wrap="around" w:vAnchor="text" w:hAnchor="text" w:xAlign="center" w:y="1"/>
                    <w:suppressOverlap/>
                    <w:rPr>
                      <w:b/>
                      <w:bCs/>
                    </w:rPr>
                  </w:pPr>
                </w:p>
              </w:tc>
            </w:tr>
            <w:tr w:rsidR="00586067" w:rsidRPr="00CB35F3" w14:paraId="7C7300D6" w14:textId="77777777" w:rsidTr="00667B32">
              <w:trPr>
                <w:trHeight w:val="315"/>
              </w:trPr>
              <w:tc>
                <w:tcPr>
                  <w:tcW w:w="748" w:type="dxa"/>
                  <w:vMerge w:val="restart"/>
                  <w:shd w:val="clear" w:color="auto" w:fill="D0CECE"/>
                  <w:tcMar>
                    <w:top w:w="0" w:type="dxa"/>
                    <w:left w:w="70" w:type="dxa"/>
                    <w:bottom w:w="0" w:type="dxa"/>
                    <w:right w:w="70" w:type="dxa"/>
                  </w:tcMar>
                  <w:vAlign w:val="center"/>
                  <w:hideMark/>
                </w:tcPr>
                <w:p w14:paraId="59320E04" w14:textId="77777777" w:rsidR="00586067" w:rsidRPr="00CB35F3" w:rsidRDefault="00586067" w:rsidP="00B23B4A">
                  <w:pPr>
                    <w:framePr w:hSpace="141" w:wrap="around" w:vAnchor="text" w:hAnchor="text" w:xAlign="center" w:y="1"/>
                    <w:suppressOverlap/>
                    <w:rPr>
                      <w:b/>
                      <w:bCs/>
                    </w:rPr>
                  </w:pPr>
                  <w:r w:rsidRPr="00CB35F3">
                    <w:rPr>
                      <w:b/>
                      <w:bCs/>
                    </w:rPr>
                    <w:t>Età</w:t>
                  </w:r>
                </w:p>
              </w:tc>
              <w:tc>
                <w:tcPr>
                  <w:tcW w:w="930" w:type="dxa"/>
                  <w:vMerge w:val="restart"/>
                  <w:shd w:val="clear" w:color="auto" w:fill="D0CECE"/>
                  <w:tcMar>
                    <w:top w:w="0" w:type="dxa"/>
                    <w:left w:w="70" w:type="dxa"/>
                    <w:bottom w:w="0" w:type="dxa"/>
                    <w:right w:w="70" w:type="dxa"/>
                  </w:tcMar>
                  <w:vAlign w:val="center"/>
                  <w:hideMark/>
                </w:tcPr>
                <w:p w14:paraId="7050A038" w14:textId="77777777" w:rsidR="00586067" w:rsidRPr="00CB35F3" w:rsidRDefault="00586067" w:rsidP="00B23B4A">
                  <w:pPr>
                    <w:framePr w:hSpace="141" w:wrap="around" w:vAnchor="text" w:hAnchor="text" w:xAlign="center" w:y="1"/>
                    <w:suppressOverlap/>
                    <w:rPr>
                      <w:b/>
                      <w:bCs/>
                    </w:rPr>
                  </w:pPr>
                  <w:r w:rsidRPr="00CB35F3">
                    <w:rPr>
                      <w:b/>
                      <w:bCs/>
                    </w:rPr>
                    <w:t>Totale Maschi</w:t>
                  </w:r>
                </w:p>
              </w:tc>
              <w:tc>
                <w:tcPr>
                  <w:tcW w:w="1035" w:type="dxa"/>
                  <w:vMerge w:val="restart"/>
                  <w:shd w:val="clear" w:color="auto" w:fill="D0CECE"/>
                  <w:tcMar>
                    <w:top w:w="0" w:type="dxa"/>
                    <w:left w:w="70" w:type="dxa"/>
                    <w:bottom w:w="0" w:type="dxa"/>
                    <w:right w:w="70" w:type="dxa"/>
                  </w:tcMar>
                  <w:vAlign w:val="center"/>
                  <w:hideMark/>
                </w:tcPr>
                <w:p w14:paraId="601F6C58" w14:textId="77777777" w:rsidR="00586067" w:rsidRPr="00CB35F3" w:rsidRDefault="00586067" w:rsidP="00B23B4A">
                  <w:pPr>
                    <w:framePr w:hSpace="141" w:wrap="around" w:vAnchor="text" w:hAnchor="text" w:xAlign="center" w:y="1"/>
                    <w:suppressOverlap/>
                    <w:rPr>
                      <w:b/>
                      <w:bCs/>
                    </w:rPr>
                  </w:pPr>
                  <w:r w:rsidRPr="00CB35F3">
                    <w:rPr>
                      <w:b/>
                      <w:bCs/>
                    </w:rPr>
                    <w:t>Totale</w:t>
                  </w:r>
                  <w:r w:rsidRPr="00CB35F3">
                    <w:rPr>
                      <w:b/>
                      <w:bCs/>
                    </w:rPr>
                    <w:br/>
                    <w:t>Femmine</w:t>
                  </w:r>
                </w:p>
              </w:tc>
              <w:tc>
                <w:tcPr>
                  <w:tcW w:w="1035" w:type="dxa"/>
                  <w:shd w:val="clear" w:color="auto" w:fill="D0CECE"/>
                  <w:tcMar>
                    <w:top w:w="0" w:type="dxa"/>
                    <w:left w:w="70" w:type="dxa"/>
                    <w:bottom w:w="0" w:type="dxa"/>
                    <w:right w:w="70" w:type="dxa"/>
                  </w:tcMar>
                  <w:vAlign w:val="center"/>
                  <w:hideMark/>
                </w:tcPr>
                <w:p w14:paraId="308C4A4E" w14:textId="77777777" w:rsidR="00586067" w:rsidRPr="00CB35F3" w:rsidRDefault="00586067" w:rsidP="00B23B4A">
                  <w:pPr>
                    <w:framePr w:hSpace="141" w:wrap="around" w:vAnchor="text" w:hAnchor="text" w:xAlign="center" w:y="1"/>
                    <w:suppressOverlap/>
                    <w:rPr>
                      <w:b/>
                      <w:bCs/>
                    </w:rPr>
                  </w:pPr>
                  <w:r w:rsidRPr="00CB35F3">
                    <w:rPr>
                      <w:b/>
                      <w:bCs/>
                    </w:rPr>
                    <w:t>Totale</w:t>
                  </w:r>
                </w:p>
              </w:tc>
              <w:tc>
                <w:tcPr>
                  <w:tcW w:w="3948" w:type="dxa"/>
                  <w:gridSpan w:val="4"/>
                  <w:shd w:val="clear" w:color="auto" w:fill="D0CECE"/>
                  <w:tcMar>
                    <w:top w:w="0" w:type="dxa"/>
                    <w:left w:w="70" w:type="dxa"/>
                    <w:bottom w:w="0" w:type="dxa"/>
                    <w:right w:w="70" w:type="dxa"/>
                  </w:tcMar>
                  <w:vAlign w:val="center"/>
                  <w:hideMark/>
                </w:tcPr>
                <w:p w14:paraId="110B601D" w14:textId="77777777" w:rsidR="00586067" w:rsidRPr="00CB35F3" w:rsidRDefault="00586067" w:rsidP="00B23B4A">
                  <w:pPr>
                    <w:framePr w:hSpace="141" w:wrap="around" w:vAnchor="text" w:hAnchor="text" w:xAlign="center" w:y="1"/>
                    <w:suppressOverlap/>
                    <w:rPr>
                      <w:b/>
                      <w:bCs/>
                    </w:rPr>
                  </w:pPr>
                  <w:r w:rsidRPr="00CB35F3">
                    <w:rPr>
                      <w:b/>
                      <w:bCs/>
                    </w:rPr>
                    <w:t>di cui stranieri</w:t>
                  </w:r>
                </w:p>
              </w:tc>
            </w:tr>
            <w:tr w:rsidR="00586067" w:rsidRPr="00CB35F3" w14:paraId="706E664D" w14:textId="77777777" w:rsidTr="00667B32">
              <w:trPr>
                <w:trHeight w:val="615"/>
              </w:trPr>
              <w:tc>
                <w:tcPr>
                  <w:tcW w:w="0" w:type="auto"/>
                  <w:vMerge/>
                  <w:vAlign w:val="center"/>
                  <w:hideMark/>
                </w:tcPr>
                <w:p w14:paraId="62F41CCF" w14:textId="77777777" w:rsidR="00586067" w:rsidRPr="00CB35F3" w:rsidRDefault="00586067" w:rsidP="00B23B4A">
                  <w:pPr>
                    <w:framePr w:hSpace="141" w:wrap="around" w:vAnchor="text" w:hAnchor="text" w:xAlign="center" w:y="1"/>
                    <w:suppressOverlap/>
                    <w:rPr>
                      <w:b/>
                      <w:bCs/>
                    </w:rPr>
                  </w:pPr>
                </w:p>
              </w:tc>
              <w:tc>
                <w:tcPr>
                  <w:tcW w:w="0" w:type="auto"/>
                  <w:vMerge/>
                  <w:vAlign w:val="center"/>
                  <w:hideMark/>
                </w:tcPr>
                <w:p w14:paraId="4A020FD5" w14:textId="77777777" w:rsidR="00586067" w:rsidRPr="00CB35F3" w:rsidRDefault="00586067" w:rsidP="00B23B4A">
                  <w:pPr>
                    <w:framePr w:hSpace="141" w:wrap="around" w:vAnchor="text" w:hAnchor="text" w:xAlign="center" w:y="1"/>
                    <w:suppressOverlap/>
                    <w:rPr>
                      <w:b/>
                      <w:bCs/>
                    </w:rPr>
                  </w:pPr>
                </w:p>
              </w:tc>
              <w:tc>
                <w:tcPr>
                  <w:tcW w:w="0" w:type="auto"/>
                  <w:vMerge/>
                  <w:vAlign w:val="center"/>
                  <w:hideMark/>
                </w:tcPr>
                <w:p w14:paraId="4C264807" w14:textId="77777777" w:rsidR="00586067" w:rsidRPr="00CB35F3" w:rsidRDefault="00586067" w:rsidP="00B23B4A">
                  <w:pPr>
                    <w:framePr w:hSpace="141" w:wrap="around" w:vAnchor="text" w:hAnchor="text" w:xAlign="center" w:y="1"/>
                    <w:suppressOverlap/>
                    <w:rPr>
                      <w:b/>
                      <w:bCs/>
                    </w:rPr>
                  </w:pPr>
                </w:p>
              </w:tc>
              <w:tc>
                <w:tcPr>
                  <w:tcW w:w="1035" w:type="dxa"/>
                  <w:shd w:val="clear" w:color="auto" w:fill="D0CECE"/>
                  <w:tcMar>
                    <w:top w:w="0" w:type="dxa"/>
                    <w:left w:w="70" w:type="dxa"/>
                    <w:bottom w:w="0" w:type="dxa"/>
                    <w:right w:w="70" w:type="dxa"/>
                  </w:tcMar>
                  <w:vAlign w:val="center"/>
                  <w:hideMark/>
                </w:tcPr>
                <w:p w14:paraId="73A612BA" w14:textId="77777777" w:rsidR="00586067" w:rsidRPr="00CB35F3" w:rsidRDefault="00586067" w:rsidP="00B23B4A">
                  <w:pPr>
                    <w:framePr w:hSpace="141" w:wrap="around" w:vAnchor="text" w:hAnchor="text" w:xAlign="center" w:y="1"/>
                    <w:suppressOverlap/>
                    <w:rPr>
                      <w:b/>
                      <w:bCs/>
                    </w:rPr>
                  </w:pPr>
                  <w:r w:rsidRPr="00CB35F3">
                    <w:rPr>
                      <w:b/>
                      <w:bCs/>
                    </w:rPr>
                    <w:t>Maschi + Femmine</w:t>
                  </w:r>
                </w:p>
              </w:tc>
              <w:tc>
                <w:tcPr>
                  <w:tcW w:w="930" w:type="dxa"/>
                  <w:shd w:val="clear" w:color="auto" w:fill="D0CECE"/>
                  <w:tcMar>
                    <w:top w:w="0" w:type="dxa"/>
                    <w:left w:w="70" w:type="dxa"/>
                    <w:bottom w:w="0" w:type="dxa"/>
                    <w:right w:w="70" w:type="dxa"/>
                  </w:tcMar>
                  <w:vAlign w:val="center"/>
                  <w:hideMark/>
                </w:tcPr>
                <w:p w14:paraId="45294FC6" w14:textId="77777777" w:rsidR="00586067" w:rsidRPr="00CB35F3" w:rsidRDefault="00586067" w:rsidP="00B23B4A">
                  <w:pPr>
                    <w:framePr w:hSpace="141" w:wrap="around" w:vAnchor="text" w:hAnchor="text" w:xAlign="center" w:y="1"/>
                    <w:suppressOverlap/>
                    <w:rPr>
                      <w:b/>
                      <w:bCs/>
                    </w:rPr>
                  </w:pPr>
                  <w:r w:rsidRPr="00CB35F3">
                    <w:rPr>
                      <w:b/>
                      <w:bCs/>
                    </w:rPr>
                    <w:t>Maschi</w:t>
                  </w:r>
                </w:p>
              </w:tc>
              <w:tc>
                <w:tcPr>
                  <w:tcW w:w="1035" w:type="dxa"/>
                  <w:shd w:val="clear" w:color="auto" w:fill="D0CECE"/>
                  <w:tcMar>
                    <w:top w:w="0" w:type="dxa"/>
                    <w:left w:w="70" w:type="dxa"/>
                    <w:bottom w:w="0" w:type="dxa"/>
                    <w:right w:w="70" w:type="dxa"/>
                  </w:tcMar>
                  <w:vAlign w:val="center"/>
                  <w:hideMark/>
                </w:tcPr>
                <w:p w14:paraId="5CE62F7A" w14:textId="77777777" w:rsidR="00586067" w:rsidRPr="00CB35F3" w:rsidRDefault="00586067" w:rsidP="00B23B4A">
                  <w:pPr>
                    <w:framePr w:hSpace="141" w:wrap="around" w:vAnchor="text" w:hAnchor="text" w:xAlign="center" w:y="1"/>
                    <w:suppressOverlap/>
                    <w:rPr>
                      <w:b/>
                      <w:bCs/>
                    </w:rPr>
                  </w:pPr>
                  <w:r w:rsidRPr="00CB35F3">
                    <w:rPr>
                      <w:b/>
                      <w:bCs/>
                    </w:rPr>
                    <w:t>Femmine</w:t>
                  </w:r>
                </w:p>
              </w:tc>
              <w:tc>
                <w:tcPr>
                  <w:tcW w:w="1035" w:type="dxa"/>
                  <w:shd w:val="clear" w:color="auto" w:fill="D0CECE"/>
                  <w:tcMar>
                    <w:top w:w="0" w:type="dxa"/>
                    <w:left w:w="70" w:type="dxa"/>
                    <w:bottom w:w="0" w:type="dxa"/>
                    <w:right w:w="70" w:type="dxa"/>
                  </w:tcMar>
                  <w:vAlign w:val="center"/>
                  <w:hideMark/>
                </w:tcPr>
                <w:p w14:paraId="05B83F47" w14:textId="77777777" w:rsidR="00586067" w:rsidRPr="00CB35F3" w:rsidRDefault="00586067" w:rsidP="00B23B4A">
                  <w:pPr>
                    <w:framePr w:hSpace="141" w:wrap="around" w:vAnchor="text" w:hAnchor="text" w:xAlign="center" w:y="1"/>
                    <w:suppressOverlap/>
                    <w:rPr>
                      <w:b/>
                      <w:bCs/>
                    </w:rPr>
                  </w:pPr>
                  <w:r w:rsidRPr="00CB35F3">
                    <w:rPr>
                      <w:b/>
                      <w:bCs/>
                    </w:rPr>
                    <w:t>Maschi + Femmine</w:t>
                  </w:r>
                </w:p>
              </w:tc>
              <w:tc>
                <w:tcPr>
                  <w:tcW w:w="948" w:type="dxa"/>
                  <w:shd w:val="clear" w:color="auto" w:fill="D0CECE"/>
                  <w:tcMar>
                    <w:top w:w="0" w:type="dxa"/>
                    <w:left w:w="70" w:type="dxa"/>
                    <w:bottom w:w="0" w:type="dxa"/>
                    <w:right w:w="70" w:type="dxa"/>
                  </w:tcMar>
                  <w:vAlign w:val="center"/>
                  <w:hideMark/>
                </w:tcPr>
                <w:p w14:paraId="0860461C" w14:textId="77777777" w:rsidR="00586067" w:rsidRPr="00CB35F3" w:rsidRDefault="00586067" w:rsidP="00B23B4A">
                  <w:pPr>
                    <w:framePr w:hSpace="141" w:wrap="around" w:vAnchor="text" w:hAnchor="text" w:xAlign="center" w:y="1"/>
                    <w:suppressOverlap/>
                    <w:rPr>
                      <w:b/>
                      <w:bCs/>
                    </w:rPr>
                  </w:pPr>
                  <w:r w:rsidRPr="00CB35F3">
                    <w:rPr>
                      <w:b/>
                      <w:bCs/>
                    </w:rPr>
                    <w:t>%</w:t>
                  </w:r>
                </w:p>
              </w:tc>
            </w:tr>
            <w:tr w:rsidR="00586067" w:rsidRPr="00CB35F3" w14:paraId="1CEFD1D9" w14:textId="77777777" w:rsidTr="00667B32">
              <w:trPr>
                <w:trHeight w:val="315"/>
              </w:trPr>
              <w:tc>
                <w:tcPr>
                  <w:tcW w:w="748" w:type="dxa"/>
                  <w:tcMar>
                    <w:top w:w="0" w:type="dxa"/>
                    <w:left w:w="70" w:type="dxa"/>
                    <w:bottom w:w="0" w:type="dxa"/>
                    <w:right w:w="70" w:type="dxa"/>
                  </w:tcMar>
                  <w:vAlign w:val="center"/>
                  <w:hideMark/>
                </w:tcPr>
                <w:p w14:paraId="565798C6" w14:textId="77777777" w:rsidR="00586067" w:rsidRPr="00CB35F3" w:rsidRDefault="00586067" w:rsidP="00B23B4A">
                  <w:pPr>
                    <w:framePr w:hSpace="141" w:wrap="around" w:vAnchor="text" w:hAnchor="text" w:xAlign="center" w:y="1"/>
                    <w:suppressOverlap/>
                    <w:rPr>
                      <w:b/>
                      <w:bCs/>
                    </w:rPr>
                  </w:pPr>
                  <w:r w:rsidRPr="00CB35F3">
                    <w:rPr>
                      <w:b/>
                      <w:bCs/>
                    </w:rPr>
                    <w:t>0</w:t>
                  </w:r>
                </w:p>
              </w:tc>
              <w:tc>
                <w:tcPr>
                  <w:tcW w:w="930" w:type="dxa"/>
                  <w:tcMar>
                    <w:top w:w="0" w:type="dxa"/>
                    <w:left w:w="70" w:type="dxa"/>
                    <w:bottom w:w="0" w:type="dxa"/>
                    <w:right w:w="70" w:type="dxa"/>
                  </w:tcMar>
                  <w:vAlign w:val="center"/>
                  <w:hideMark/>
                </w:tcPr>
                <w:p w14:paraId="798CC70E" w14:textId="77777777" w:rsidR="00586067" w:rsidRPr="00CB35F3" w:rsidRDefault="00586067" w:rsidP="00B23B4A">
                  <w:pPr>
                    <w:framePr w:hSpace="141" w:wrap="around" w:vAnchor="text" w:hAnchor="text" w:xAlign="center" w:y="1"/>
                    <w:suppressOverlap/>
                    <w:rPr>
                      <w:b/>
                      <w:bCs/>
                    </w:rPr>
                  </w:pPr>
                  <w:r w:rsidRPr="00CB35F3">
                    <w:rPr>
                      <w:b/>
                      <w:bCs/>
                    </w:rPr>
                    <w:t>172</w:t>
                  </w:r>
                </w:p>
              </w:tc>
              <w:tc>
                <w:tcPr>
                  <w:tcW w:w="1035" w:type="dxa"/>
                  <w:tcMar>
                    <w:top w:w="0" w:type="dxa"/>
                    <w:left w:w="70" w:type="dxa"/>
                    <w:bottom w:w="0" w:type="dxa"/>
                    <w:right w:w="70" w:type="dxa"/>
                  </w:tcMar>
                  <w:vAlign w:val="center"/>
                  <w:hideMark/>
                </w:tcPr>
                <w:p w14:paraId="28BD7034" w14:textId="77777777" w:rsidR="00586067" w:rsidRPr="00CB35F3" w:rsidRDefault="00586067" w:rsidP="00B23B4A">
                  <w:pPr>
                    <w:framePr w:hSpace="141" w:wrap="around" w:vAnchor="text" w:hAnchor="text" w:xAlign="center" w:y="1"/>
                    <w:suppressOverlap/>
                    <w:rPr>
                      <w:b/>
                      <w:bCs/>
                    </w:rPr>
                  </w:pPr>
                  <w:r w:rsidRPr="00CB35F3">
                    <w:rPr>
                      <w:b/>
                      <w:bCs/>
                    </w:rPr>
                    <w:t>151</w:t>
                  </w:r>
                </w:p>
              </w:tc>
              <w:tc>
                <w:tcPr>
                  <w:tcW w:w="1035" w:type="dxa"/>
                  <w:tcMar>
                    <w:top w:w="0" w:type="dxa"/>
                    <w:left w:w="70" w:type="dxa"/>
                    <w:bottom w:w="0" w:type="dxa"/>
                    <w:right w:w="70" w:type="dxa"/>
                  </w:tcMar>
                  <w:vAlign w:val="center"/>
                  <w:hideMark/>
                </w:tcPr>
                <w:p w14:paraId="06864825" w14:textId="77777777" w:rsidR="00586067" w:rsidRPr="00CB35F3" w:rsidRDefault="00586067" w:rsidP="00B23B4A">
                  <w:pPr>
                    <w:framePr w:hSpace="141" w:wrap="around" w:vAnchor="text" w:hAnchor="text" w:xAlign="center" w:y="1"/>
                    <w:suppressOverlap/>
                    <w:rPr>
                      <w:b/>
                      <w:bCs/>
                    </w:rPr>
                  </w:pPr>
                  <w:r w:rsidRPr="00CB35F3">
                    <w:rPr>
                      <w:b/>
                      <w:bCs/>
                    </w:rPr>
                    <w:t>323</w:t>
                  </w:r>
                </w:p>
              </w:tc>
              <w:tc>
                <w:tcPr>
                  <w:tcW w:w="930" w:type="dxa"/>
                  <w:tcMar>
                    <w:top w:w="0" w:type="dxa"/>
                    <w:left w:w="70" w:type="dxa"/>
                    <w:bottom w:w="0" w:type="dxa"/>
                    <w:right w:w="70" w:type="dxa"/>
                  </w:tcMar>
                  <w:vAlign w:val="center"/>
                  <w:hideMark/>
                </w:tcPr>
                <w:p w14:paraId="688A7154" w14:textId="77777777" w:rsidR="00586067" w:rsidRPr="00CB35F3" w:rsidRDefault="00586067" w:rsidP="00B23B4A">
                  <w:pPr>
                    <w:framePr w:hSpace="141" w:wrap="around" w:vAnchor="text" w:hAnchor="text" w:xAlign="center" w:y="1"/>
                    <w:suppressOverlap/>
                    <w:rPr>
                      <w:b/>
                      <w:bCs/>
                    </w:rPr>
                  </w:pPr>
                  <w:r w:rsidRPr="00CB35F3">
                    <w:rPr>
                      <w:b/>
                      <w:bCs/>
                    </w:rPr>
                    <w:t>23</w:t>
                  </w:r>
                </w:p>
              </w:tc>
              <w:tc>
                <w:tcPr>
                  <w:tcW w:w="1035" w:type="dxa"/>
                  <w:tcMar>
                    <w:top w:w="0" w:type="dxa"/>
                    <w:left w:w="70" w:type="dxa"/>
                    <w:bottom w:w="0" w:type="dxa"/>
                    <w:right w:w="70" w:type="dxa"/>
                  </w:tcMar>
                  <w:vAlign w:val="center"/>
                  <w:hideMark/>
                </w:tcPr>
                <w:p w14:paraId="222AA512" w14:textId="77777777" w:rsidR="00586067" w:rsidRPr="00CB35F3" w:rsidRDefault="00586067" w:rsidP="00B23B4A">
                  <w:pPr>
                    <w:framePr w:hSpace="141" w:wrap="around" w:vAnchor="text" w:hAnchor="text" w:xAlign="center" w:y="1"/>
                    <w:suppressOverlap/>
                    <w:rPr>
                      <w:b/>
                      <w:bCs/>
                    </w:rPr>
                  </w:pPr>
                  <w:r w:rsidRPr="00CB35F3">
                    <w:rPr>
                      <w:b/>
                      <w:bCs/>
                    </w:rPr>
                    <w:t>18</w:t>
                  </w:r>
                </w:p>
              </w:tc>
              <w:tc>
                <w:tcPr>
                  <w:tcW w:w="1035" w:type="dxa"/>
                  <w:tcMar>
                    <w:top w:w="0" w:type="dxa"/>
                    <w:left w:w="70" w:type="dxa"/>
                    <w:bottom w:w="0" w:type="dxa"/>
                    <w:right w:w="70" w:type="dxa"/>
                  </w:tcMar>
                  <w:vAlign w:val="center"/>
                  <w:hideMark/>
                </w:tcPr>
                <w:p w14:paraId="590B5930" w14:textId="77777777" w:rsidR="00586067" w:rsidRPr="00CB35F3" w:rsidRDefault="00586067" w:rsidP="00B23B4A">
                  <w:pPr>
                    <w:framePr w:hSpace="141" w:wrap="around" w:vAnchor="text" w:hAnchor="text" w:xAlign="center" w:y="1"/>
                    <w:suppressOverlap/>
                    <w:rPr>
                      <w:b/>
                      <w:bCs/>
                    </w:rPr>
                  </w:pPr>
                  <w:r w:rsidRPr="00CB35F3">
                    <w:rPr>
                      <w:b/>
                      <w:bCs/>
                    </w:rPr>
                    <w:t>41</w:t>
                  </w:r>
                </w:p>
              </w:tc>
              <w:tc>
                <w:tcPr>
                  <w:tcW w:w="948" w:type="dxa"/>
                  <w:tcMar>
                    <w:top w:w="0" w:type="dxa"/>
                    <w:left w:w="70" w:type="dxa"/>
                    <w:bottom w:w="0" w:type="dxa"/>
                    <w:right w:w="70" w:type="dxa"/>
                  </w:tcMar>
                  <w:vAlign w:val="center"/>
                  <w:hideMark/>
                </w:tcPr>
                <w:p w14:paraId="23696260" w14:textId="77777777" w:rsidR="00586067" w:rsidRPr="00CB35F3" w:rsidRDefault="00586067" w:rsidP="00B23B4A">
                  <w:pPr>
                    <w:framePr w:hSpace="141" w:wrap="around" w:vAnchor="text" w:hAnchor="text" w:xAlign="center" w:y="1"/>
                    <w:suppressOverlap/>
                    <w:rPr>
                      <w:b/>
                      <w:bCs/>
                    </w:rPr>
                  </w:pPr>
                  <w:r w:rsidRPr="00CB35F3">
                    <w:rPr>
                      <w:b/>
                      <w:bCs/>
                    </w:rPr>
                    <w:t>12,69%</w:t>
                  </w:r>
                </w:p>
              </w:tc>
            </w:tr>
            <w:tr w:rsidR="00586067" w:rsidRPr="00CB35F3" w14:paraId="2E98A7D0" w14:textId="77777777" w:rsidTr="00667B32">
              <w:trPr>
                <w:trHeight w:val="315"/>
              </w:trPr>
              <w:tc>
                <w:tcPr>
                  <w:tcW w:w="748" w:type="dxa"/>
                  <w:tcMar>
                    <w:top w:w="0" w:type="dxa"/>
                    <w:left w:w="70" w:type="dxa"/>
                    <w:bottom w:w="0" w:type="dxa"/>
                    <w:right w:w="70" w:type="dxa"/>
                  </w:tcMar>
                  <w:vAlign w:val="center"/>
                  <w:hideMark/>
                </w:tcPr>
                <w:p w14:paraId="3752248F" w14:textId="77777777" w:rsidR="00586067" w:rsidRPr="00CB35F3" w:rsidRDefault="00586067" w:rsidP="00B23B4A">
                  <w:pPr>
                    <w:framePr w:hSpace="141" w:wrap="around" w:vAnchor="text" w:hAnchor="text" w:xAlign="center" w:y="1"/>
                    <w:suppressOverlap/>
                    <w:rPr>
                      <w:b/>
                      <w:bCs/>
                    </w:rPr>
                  </w:pPr>
                  <w:r w:rsidRPr="00CB35F3">
                    <w:rPr>
                      <w:b/>
                      <w:bCs/>
                    </w:rPr>
                    <w:t>1</w:t>
                  </w:r>
                </w:p>
              </w:tc>
              <w:tc>
                <w:tcPr>
                  <w:tcW w:w="930" w:type="dxa"/>
                  <w:tcMar>
                    <w:top w:w="0" w:type="dxa"/>
                    <w:left w:w="70" w:type="dxa"/>
                    <w:bottom w:w="0" w:type="dxa"/>
                    <w:right w:w="70" w:type="dxa"/>
                  </w:tcMar>
                  <w:vAlign w:val="center"/>
                  <w:hideMark/>
                </w:tcPr>
                <w:p w14:paraId="65515AAA" w14:textId="77777777" w:rsidR="00586067" w:rsidRPr="00CB35F3" w:rsidRDefault="00586067" w:rsidP="00B23B4A">
                  <w:pPr>
                    <w:framePr w:hSpace="141" w:wrap="around" w:vAnchor="text" w:hAnchor="text" w:xAlign="center" w:y="1"/>
                    <w:suppressOverlap/>
                    <w:rPr>
                      <w:b/>
                      <w:bCs/>
                    </w:rPr>
                  </w:pPr>
                  <w:r w:rsidRPr="00CB35F3">
                    <w:rPr>
                      <w:b/>
                      <w:bCs/>
                    </w:rPr>
                    <w:t>175</w:t>
                  </w:r>
                </w:p>
              </w:tc>
              <w:tc>
                <w:tcPr>
                  <w:tcW w:w="1035" w:type="dxa"/>
                  <w:tcMar>
                    <w:top w:w="0" w:type="dxa"/>
                    <w:left w:w="70" w:type="dxa"/>
                    <w:bottom w:w="0" w:type="dxa"/>
                    <w:right w:w="70" w:type="dxa"/>
                  </w:tcMar>
                  <w:vAlign w:val="center"/>
                  <w:hideMark/>
                </w:tcPr>
                <w:p w14:paraId="7D1007FE" w14:textId="77777777" w:rsidR="00586067" w:rsidRPr="00CB35F3" w:rsidRDefault="00586067" w:rsidP="00B23B4A">
                  <w:pPr>
                    <w:framePr w:hSpace="141" w:wrap="around" w:vAnchor="text" w:hAnchor="text" w:xAlign="center" w:y="1"/>
                    <w:suppressOverlap/>
                    <w:rPr>
                      <w:b/>
                      <w:bCs/>
                    </w:rPr>
                  </w:pPr>
                  <w:r w:rsidRPr="00CB35F3">
                    <w:rPr>
                      <w:b/>
                      <w:bCs/>
                    </w:rPr>
                    <w:t>165</w:t>
                  </w:r>
                </w:p>
              </w:tc>
              <w:tc>
                <w:tcPr>
                  <w:tcW w:w="1035" w:type="dxa"/>
                  <w:tcMar>
                    <w:top w:w="0" w:type="dxa"/>
                    <w:left w:w="70" w:type="dxa"/>
                    <w:bottom w:w="0" w:type="dxa"/>
                    <w:right w:w="70" w:type="dxa"/>
                  </w:tcMar>
                  <w:vAlign w:val="center"/>
                  <w:hideMark/>
                </w:tcPr>
                <w:p w14:paraId="6B0F8C1D" w14:textId="77777777" w:rsidR="00586067" w:rsidRPr="00CB35F3" w:rsidRDefault="00586067" w:rsidP="00B23B4A">
                  <w:pPr>
                    <w:framePr w:hSpace="141" w:wrap="around" w:vAnchor="text" w:hAnchor="text" w:xAlign="center" w:y="1"/>
                    <w:suppressOverlap/>
                    <w:rPr>
                      <w:b/>
                      <w:bCs/>
                    </w:rPr>
                  </w:pPr>
                  <w:r w:rsidRPr="00CB35F3">
                    <w:rPr>
                      <w:b/>
                      <w:bCs/>
                    </w:rPr>
                    <w:t>340</w:t>
                  </w:r>
                </w:p>
              </w:tc>
              <w:tc>
                <w:tcPr>
                  <w:tcW w:w="930" w:type="dxa"/>
                  <w:tcMar>
                    <w:top w:w="0" w:type="dxa"/>
                    <w:left w:w="70" w:type="dxa"/>
                    <w:bottom w:w="0" w:type="dxa"/>
                    <w:right w:w="70" w:type="dxa"/>
                  </w:tcMar>
                  <w:vAlign w:val="center"/>
                  <w:hideMark/>
                </w:tcPr>
                <w:p w14:paraId="4E7F23A7" w14:textId="77777777" w:rsidR="00586067" w:rsidRPr="00CB35F3" w:rsidRDefault="00586067" w:rsidP="00B23B4A">
                  <w:pPr>
                    <w:framePr w:hSpace="141" w:wrap="around" w:vAnchor="text" w:hAnchor="text" w:xAlign="center" w:y="1"/>
                    <w:suppressOverlap/>
                    <w:rPr>
                      <w:b/>
                      <w:bCs/>
                    </w:rPr>
                  </w:pPr>
                  <w:r w:rsidRPr="00CB35F3">
                    <w:rPr>
                      <w:b/>
                      <w:bCs/>
                    </w:rPr>
                    <w:t>26</w:t>
                  </w:r>
                </w:p>
              </w:tc>
              <w:tc>
                <w:tcPr>
                  <w:tcW w:w="1035" w:type="dxa"/>
                  <w:tcMar>
                    <w:top w:w="0" w:type="dxa"/>
                    <w:left w:w="70" w:type="dxa"/>
                    <w:bottom w:w="0" w:type="dxa"/>
                    <w:right w:w="70" w:type="dxa"/>
                  </w:tcMar>
                  <w:vAlign w:val="center"/>
                  <w:hideMark/>
                </w:tcPr>
                <w:p w14:paraId="7E87A5E4" w14:textId="77777777" w:rsidR="00586067" w:rsidRPr="00CB35F3" w:rsidRDefault="00586067" w:rsidP="00B23B4A">
                  <w:pPr>
                    <w:framePr w:hSpace="141" w:wrap="around" w:vAnchor="text" w:hAnchor="text" w:xAlign="center" w:y="1"/>
                    <w:suppressOverlap/>
                    <w:rPr>
                      <w:b/>
                      <w:bCs/>
                    </w:rPr>
                  </w:pPr>
                  <w:r w:rsidRPr="00CB35F3">
                    <w:rPr>
                      <w:b/>
                      <w:bCs/>
                    </w:rPr>
                    <w:t>17</w:t>
                  </w:r>
                </w:p>
              </w:tc>
              <w:tc>
                <w:tcPr>
                  <w:tcW w:w="1035" w:type="dxa"/>
                  <w:tcMar>
                    <w:top w:w="0" w:type="dxa"/>
                    <w:left w:w="70" w:type="dxa"/>
                    <w:bottom w:w="0" w:type="dxa"/>
                    <w:right w:w="70" w:type="dxa"/>
                  </w:tcMar>
                  <w:vAlign w:val="center"/>
                  <w:hideMark/>
                </w:tcPr>
                <w:p w14:paraId="34F40F12" w14:textId="77777777" w:rsidR="00586067" w:rsidRPr="00CB35F3" w:rsidRDefault="00586067" w:rsidP="00B23B4A">
                  <w:pPr>
                    <w:framePr w:hSpace="141" w:wrap="around" w:vAnchor="text" w:hAnchor="text" w:xAlign="center" w:y="1"/>
                    <w:suppressOverlap/>
                    <w:rPr>
                      <w:b/>
                      <w:bCs/>
                    </w:rPr>
                  </w:pPr>
                  <w:r w:rsidRPr="00CB35F3">
                    <w:rPr>
                      <w:b/>
                      <w:bCs/>
                    </w:rPr>
                    <w:t>43</w:t>
                  </w:r>
                </w:p>
              </w:tc>
              <w:tc>
                <w:tcPr>
                  <w:tcW w:w="948" w:type="dxa"/>
                  <w:tcMar>
                    <w:top w:w="0" w:type="dxa"/>
                    <w:left w:w="70" w:type="dxa"/>
                    <w:bottom w:w="0" w:type="dxa"/>
                    <w:right w:w="70" w:type="dxa"/>
                  </w:tcMar>
                  <w:vAlign w:val="center"/>
                  <w:hideMark/>
                </w:tcPr>
                <w:p w14:paraId="11F2E71B" w14:textId="77777777" w:rsidR="00586067" w:rsidRPr="00CB35F3" w:rsidRDefault="00586067" w:rsidP="00B23B4A">
                  <w:pPr>
                    <w:framePr w:hSpace="141" w:wrap="around" w:vAnchor="text" w:hAnchor="text" w:xAlign="center" w:y="1"/>
                    <w:suppressOverlap/>
                    <w:rPr>
                      <w:b/>
                      <w:bCs/>
                    </w:rPr>
                  </w:pPr>
                  <w:r w:rsidRPr="00CB35F3">
                    <w:rPr>
                      <w:b/>
                      <w:bCs/>
                    </w:rPr>
                    <w:t>12,65%</w:t>
                  </w:r>
                </w:p>
              </w:tc>
            </w:tr>
            <w:tr w:rsidR="00586067" w:rsidRPr="00CB35F3" w14:paraId="7BC37323" w14:textId="77777777" w:rsidTr="00667B32">
              <w:trPr>
                <w:trHeight w:val="315"/>
              </w:trPr>
              <w:tc>
                <w:tcPr>
                  <w:tcW w:w="748" w:type="dxa"/>
                  <w:tcMar>
                    <w:top w:w="0" w:type="dxa"/>
                    <w:left w:w="70" w:type="dxa"/>
                    <w:bottom w:w="0" w:type="dxa"/>
                    <w:right w:w="70" w:type="dxa"/>
                  </w:tcMar>
                  <w:vAlign w:val="center"/>
                  <w:hideMark/>
                </w:tcPr>
                <w:p w14:paraId="316AA876" w14:textId="77777777" w:rsidR="00586067" w:rsidRPr="00CB35F3" w:rsidRDefault="00586067" w:rsidP="00B23B4A">
                  <w:pPr>
                    <w:framePr w:hSpace="141" w:wrap="around" w:vAnchor="text" w:hAnchor="text" w:xAlign="center" w:y="1"/>
                    <w:suppressOverlap/>
                    <w:rPr>
                      <w:b/>
                      <w:bCs/>
                    </w:rPr>
                  </w:pPr>
                  <w:r w:rsidRPr="00CB35F3">
                    <w:rPr>
                      <w:b/>
                      <w:bCs/>
                    </w:rPr>
                    <w:t>2</w:t>
                  </w:r>
                </w:p>
              </w:tc>
              <w:tc>
                <w:tcPr>
                  <w:tcW w:w="930" w:type="dxa"/>
                  <w:tcMar>
                    <w:top w:w="0" w:type="dxa"/>
                    <w:left w:w="70" w:type="dxa"/>
                    <w:bottom w:w="0" w:type="dxa"/>
                    <w:right w:w="70" w:type="dxa"/>
                  </w:tcMar>
                  <w:vAlign w:val="center"/>
                  <w:hideMark/>
                </w:tcPr>
                <w:p w14:paraId="63CD7ECC" w14:textId="77777777" w:rsidR="00586067" w:rsidRPr="00CB35F3" w:rsidRDefault="00586067" w:rsidP="00B23B4A">
                  <w:pPr>
                    <w:framePr w:hSpace="141" w:wrap="around" w:vAnchor="text" w:hAnchor="text" w:xAlign="center" w:y="1"/>
                    <w:suppressOverlap/>
                    <w:rPr>
                      <w:b/>
                      <w:bCs/>
                    </w:rPr>
                  </w:pPr>
                  <w:r w:rsidRPr="00CB35F3">
                    <w:rPr>
                      <w:b/>
                      <w:bCs/>
                    </w:rPr>
                    <w:t>179</w:t>
                  </w:r>
                </w:p>
              </w:tc>
              <w:tc>
                <w:tcPr>
                  <w:tcW w:w="1035" w:type="dxa"/>
                  <w:tcMar>
                    <w:top w:w="0" w:type="dxa"/>
                    <w:left w:w="70" w:type="dxa"/>
                    <w:bottom w:w="0" w:type="dxa"/>
                    <w:right w:w="70" w:type="dxa"/>
                  </w:tcMar>
                  <w:vAlign w:val="center"/>
                  <w:hideMark/>
                </w:tcPr>
                <w:p w14:paraId="5D864055" w14:textId="77777777" w:rsidR="00586067" w:rsidRPr="00CB35F3" w:rsidRDefault="00586067" w:rsidP="00B23B4A">
                  <w:pPr>
                    <w:framePr w:hSpace="141" w:wrap="around" w:vAnchor="text" w:hAnchor="text" w:xAlign="center" w:y="1"/>
                    <w:suppressOverlap/>
                    <w:rPr>
                      <w:b/>
                      <w:bCs/>
                    </w:rPr>
                  </w:pPr>
                  <w:r w:rsidRPr="00CB35F3">
                    <w:rPr>
                      <w:b/>
                      <w:bCs/>
                    </w:rPr>
                    <w:t>148</w:t>
                  </w:r>
                </w:p>
              </w:tc>
              <w:tc>
                <w:tcPr>
                  <w:tcW w:w="1035" w:type="dxa"/>
                  <w:tcMar>
                    <w:top w:w="0" w:type="dxa"/>
                    <w:left w:w="70" w:type="dxa"/>
                    <w:bottom w:w="0" w:type="dxa"/>
                    <w:right w:w="70" w:type="dxa"/>
                  </w:tcMar>
                  <w:vAlign w:val="center"/>
                  <w:hideMark/>
                </w:tcPr>
                <w:p w14:paraId="025EF01F" w14:textId="77777777" w:rsidR="00586067" w:rsidRPr="00CB35F3" w:rsidRDefault="00586067" w:rsidP="00B23B4A">
                  <w:pPr>
                    <w:framePr w:hSpace="141" w:wrap="around" w:vAnchor="text" w:hAnchor="text" w:xAlign="center" w:y="1"/>
                    <w:suppressOverlap/>
                    <w:rPr>
                      <w:b/>
                      <w:bCs/>
                    </w:rPr>
                  </w:pPr>
                  <w:r w:rsidRPr="00CB35F3">
                    <w:rPr>
                      <w:b/>
                      <w:bCs/>
                    </w:rPr>
                    <w:t>327</w:t>
                  </w:r>
                </w:p>
              </w:tc>
              <w:tc>
                <w:tcPr>
                  <w:tcW w:w="930" w:type="dxa"/>
                  <w:tcMar>
                    <w:top w:w="0" w:type="dxa"/>
                    <w:left w:w="70" w:type="dxa"/>
                    <w:bottom w:w="0" w:type="dxa"/>
                    <w:right w:w="70" w:type="dxa"/>
                  </w:tcMar>
                  <w:vAlign w:val="center"/>
                  <w:hideMark/>
                </w:tcPr>
                <w:p w14:paraId="0F2E96AD" w14:textId="77777777" w:rsidR="00586067" w:rsidRPr="00CB35F3" w:rsidRDefault="00586067" w:rsidP="00B23B4A">
                  <w:pPr>
                    <w:framePr w:hSpace="141" w:wrap="around" w:vAnchor="text" w:hAnchor="text" w:xAlign="center" w:y="1"/>
                    <w:suppressOverlap/>
                    <w:rPr>
                      <w:b/>
                      <w:bCs/>
                    </w:rPr>
                  </w:pPr>
                  <w:r w:rsidRPr="00CB35F3">
                    <w:rPr>
                      <w:b/>
                      <w:bCs/>
                    </w:rPr>
                    <w:t>24</w:t>
                  </w:r>
                </w:p>
              </w:tc>
              <w:tc>
                <w:tcPr>
                  <w:tcW w:w="1035" w:type="dxa"/>
                  <w:tcMar>
                    <w:top w:w="0" w:type="dxa"/>
                    <w:left w:w="70" w:type="dxa"/>
                    <w:bottom w:w="0" w:type="dxa"/>
                    <w:right w:w="70" w:type="dxa"/>
                  </w:tcMar>
                  <w:vAlign w:val="center"/>
                  <w:hideMark/>
                </w:tcPr>
                <w:p w14:paraId="09573449" w14:textId="77777777" w:rsidR="00586067" w:rsidRPr="00CB35F3" w:rsidRDefault="00586067" w:rsidP="00B23B4A">
                  <w:pPr>
                    <w:framePr w:hSpace="141" w:wrap="around" w:vAnchor="text" w:hAnchor="text" w:xAlign="center" w:y="1"/>
                    <w:suppressOverlap/>
                    <w:rPr>
                      <w:b/>
                      <w:bCs/>
                    </w:rPr>
                  </w:pPr>
                  <w:r w:rsidRPr="00CB35F3">
                    <w:rPr>
                      <w:b/>
                      <w:bCs/>
                    </w:rPr>
                    <w:t>20</w:t>
                  </w:r>
                </w:p>
              </w:tc>
              <w:tc>
                <w:tcPr>
                  <w:tcW w:w="1035" w:type="dxa"/>
                  <w:tcMar>
                    <w:top w:w="0" w:type="dxa"/>
                    <w:left w:w="70" w:type="dxa"/>
                    <w:bottom w:w="0" w:type="dxa"/>
                    <w:right w:w="70" w:type="dxa"/>
                  </w:tcMar>
                  <w:vAlign w:val="center"/>
                  <w:hideMark/>
                </w:tcPr>
                <w:p w14:paraId="717D78EF" w14:textId="77777777" w:rsidR="00586067" w:rsidRPr="00CB35F3" w:rsidRDefault="00586067" w:rsidP="00B23B4A">
                  <w:pPr>
                    <w:framePr w:hSpace="141" w:wrap="around" w:vAnchor="text" w:hAnchor="text" w:xAlign="center" w:y="1"/>
                    <w:suppressOverlap/>
                    <w:rPr>
                      <w:b/>
                      <w:bCs/>
                    </w:rPr>
                  </w:pPr>
                  <w:r w:rsidRPr="00CB35F3">
                    <w:rPr>
                      <w:b/>
                      <w:bCs/>
                    </w:rPr>
                    <w:t>44</w:t>
                  </w:r>
                </w:p>
              </w:tc>
              <w:tc>
                <w:tcPr>
                  <w:tcW w:w="948" w:type="dxa"/>
                  <w:tcMar>
                    <w:top w:w="0" w:type="dxa"/>
                    <w:left w:w="70" w:type="dxa"/>
                    <w:bottom w:w="0" w:type="dxa"/>
                    <w:right w:w="70" w:type="dxa"/>
                  </w:tcMar>
                  <w:vAlign w:val="center"/>
                  <w:hideMark/>
                </w:tcPr>
                <w:p w14:paraId="75954D4D" w14:textId="77777777" w:rsidR="00586067" w:rsidRPr="00CB35F3" w:rsidRDefault="00586067" w:rsidP="00B23B4A">
                  <w:pPr>
                    <w:framePr w:hSpace="141" w:wrap="around" w:vAnchor="text" w:hAnchor="text" w:xAlign="center" w:y="1"/>
                    <w:suppressOverlap/>
                    <w:rPr>
                      <w:b/>
                      <w:bCs/>
                    </w:rPr>
                  </w:pPr>
                  <w:r w:rsidRPr="00CB35F3">
                    <w:rPr>
                      <w:b/>
                      <w:bCs/>
                    </w:rPr>
                    <w:t>13,46%</w:t>
                  </w:r>
                </w:p>
              </w:tc>
            </w:tr>
            <w:tr w:rsidR="00586067" w:rsidRPr="00CB35F3" w14:paraId="2C6F5F0A" w14:textId="77777777" w:rsidTr="00667B32">
              <w:trPr>
                <w:trHeight w:val="315"/>
              </w:trPr>
              <w:tc>
                <w:tcPr>
                  <w:tcW w:w="748" w:type="dxa"/>
                  <w:tcMar>
                    <w:top w:w="0" w:type="dxa"/>
                    <w:left w:w="70" w:type="dxa"/>
                    <w:bottom w:w="0" w:type="dxa"/>
                    <w:right w:w="70" w:type="dxa"/>
                  </w:tcMar>
                  <w:vAlign w:val="center"/>
                  <w:hideMark/>
                </w:tcPr>
                <w:p w14:paraId="142502C6" w14:textId="77777777" w:rsidR="00586067" w:rsidRPr="00CB35F3" w:rsidRDefault="00586067" w:rsidP="00B23B4A">
                  <w:pPr>
                    <w:framePr w:hSpace="141" w:wrap="around" w:vAnchor="text" w:hAnchor="text" w:xAlign="center" w:y="1"/>
                    <w:suppressOverlap/>
                    <w:rPr>
                      <w:b/>
                      <w:bCs/>
                    </w:rPr>
                  </w:pPr>
                  <w:r w:rsidRPr="00CB35F3">
                    <w:rPr>
                      <w:b/>
                      <w:bCs/>
                    </w:rPr>
                    <w:t>3</w:t>
                  </w:r>
                </w:p>
              </w:tc>
              <w:tc>
                <w:tcPr>
                  <w:tcW w:w="930" w:type="dxa"/>
                  <w:tcMar>
                    <w:top w:w="0" w:type="dxa"/>
                    <w:left w:w="70" w:type="dxa"/>
                    <w:bottom w:w="0" w:type="dxa"/>
                    <w:right w:w="70" w:type="dxa"/>
                  </w:tcMar>
                  <w:vAlign w:val="center"/>
                  <w:hideMark/>
                </w:tcPr>
                <w:p w14:paraId="6AE81F8C" w14:textId="77777777" w:rsidR="00586067" w:rsidRPr="00CB35F3" w:rsidRDefault="00586067" w:rsidP="00B23B4A">
                  <w:pPr>
                    <w:framePr w:hSpace="141" w:wrap="around" w:vAnchor="text" w:hAnchor="text" w:xAlign="center" w:y="1"/>
                    <w:suppressOverlap/>
                    <w:rPr>
                      <w:b/>
                      <w:bCs/>
                    </w:rPr>
                  </w:pPr>
                  <w:r w:rsidRPr="00CB35F3">
                    <w:rPr>
                      <w:b/>
                      <w:bCs/>
                    </w:rPr>
                    <w:t>199</w:t>
                  </w:r>
                </w:p>
              </w:tc>
              <w:tc>
                <w:tcPr>
                  <w:tcW w:w="1035" w:type="dxa"/>
                  <w:tcMar>
                    <w:top w:w="0" w:type="dxa"/>
                    <w:left w:w="70" w:type="dxa"/>
                    <w:bottom w:w="0" w:type="dxa"/>
                    <w:right w:w="70" w:type="dxa"/>
                  </w:tcMar>
                  <w:vAlign w:val="center"/>
                  <w:hideMark/>
                </w:tcPr>
                <w:p w14:paraId="660F31D9" w14:textId="77777777" w:rsidR="00586067" w:rsidRPr="00CB35F3" w:rsidRDefault="00586067" w:rsidP="00B23B4A">
                  <w:pPr>
                    <w:framePr w:hSpace="141" w:wrap="around" w:vAnchor="text" w:hAnchor="text" w:xAlign="center" w:y="1"/>
                    <w:suppressOverlap/>
                    <w:rPr>
                      <w:b/>
                      <w:bCs/>
                    </w:rPr>
                  </w:pPr>
                  <w:r w:rsidRPr="00CB35F3">
                    <w:rPr>
                      <w:b/>
                      <w:bCs/>
                    </w:rPr>
                    <w:t>152</w:t>
                  </w:r>
                </w:p>
              </w:tc>
              <w:tc>
                <w:tcPr>
                  <w:tcW w:w="1035" w:type="dxa"/>
                  <w:tcMar>
                    <w:top w:w="0" w:type="dxa"/>
                    <w:left w:w="70" w:type="dxa"/>
                    <w:bottom w:w="0" w:type="dxa"/>
                    <w:right w:w="70" w:type="dxa"/>
                  </w:tcMar>
                  <w:vAlign w:val="center"/>
                  <w:hideMark/>
                </w:tcPr>
                <w:p w14:paraId="6FF83290" w14:textId="77777777" w:rsidR="00586067" w:rsidRPr="00CB35F3" w:rsidRDefault="00586067" w:rsidP="00B23B4A">
                  <w:pPr>
                    <w:framePr w:hSpace="141" w:wrap="around" w:vAnchor="text" w:hAnchor="text" w:xAlign="center" w:y="1"/>
                    <w:suppressOverlap/>
                    <w:rPr>
                      <w:b/>
                      <w:bCs/>
                    </w:rPr>
                  </w:pPr>
                  <w:r w:rsidRPr="00CB35F3">
                    <w:rPr>
                      <w:b/>
                      <w:bCs/>
                    </w:rPr>
                    <w:t>351</w:t>
                  </w:r>
                </w:p>
              </w:tc>
              <w:tc>
                <w:tcPr>
                  <w:tcW w:w="930" w:type="dxa"/>
                  <w:tcMar>
                    <w:top w:w="0" w:type="dxa"/>
                    <w:left w:w="70" w:type="dxa"/>
                    <w:bottom w:w="0" w:type="dxa"/>
                    <w:right w:w="70" w:type="dxa"/>
                  </w:tcMar>
                  <w:vAlign w:val="center"/>
                  <w:hideMark/>
                </w:tcPr>
                <w:p w14:paraId="1FB8AB43" w14:textId="77777777" w:rsidR="00586067" w:rsidRPr="00CB35F3" w:rsidRDefault="00586067" w:rsidP="00B23B4A">
                  <w:pPr>
                    <w:framePr w:hSpace="141" w:wrap="around" w:vAnchor="text" w:hAnchor="text" w:xAlign="center" w:y="1"/>
                    <w:suppressOverlap/>
                    <w:rPr>
                      <w:b/>
                      <w:bCs/>
                    </w:rPr>
                  </w:pPr>
                  <w:r w:rsidRPr="00CB35F3">
                    <w:rPr>
                      <w:b/>
                      <w:bCs/>
                    </w:rPr>
                    <w:t>19</w:t>
                  </w:r>
                </w:p>
              </w:tc>
              <w:tc>
                <w:tcPr>
                  <w:tcW w:w="1035" w:type="dxa"/>
                  <w:tcMar>
                    <w:top w:w="0" w:type="dxa"/>
                    <w:left w:w="70" w:type="dxa"/>
                    <w:bottom w:w="0" w:type="dxa"/>
                    <w:right w:w="70" w:type="dxa"/>
                  </w:tcMar>
                  <w:vAlign w:val="center"/>
                  <w:hideMark/>
                </w:tcPr>
                <w:p w14:paraId="0A8EE104" w14:textId="77777777" w:rsidR="00586067" w:rsidRPr="00CB35F3" w:rsidRDefault="00586067" w:rsidP="00B23B4A">
                  <w:pPr>
                    <w:framePr w:hSpace="141" w:wrap="around" w:vAnchor="text" w:hAnchor="text" w:xAlign="center" w:y="1"/>
                    <w:suppressOverlap/>
                    <w:rPr>
                      <w:b/>
                      <w:bCs/>
                    </w:rPr>
                  </w:pPr>
                  <w:r w:rsidRPr="00CB35F3">
                    <w:rPr>
                      <w:b/>
                      <w:bCs/>
                    </w:rPr>
                    <w:t>14</w:t>
                  </w:r>
                </w:p>
              </w:tc>
              <w:tc>
                <w:tcPr>
                  <w:tcW w:w="1035" w:type="dxa"/>
                  <w:tcMar>
                    <w:top w:w="0" w:type="dxa"/>
                    <w:left w:w="70" w:type="dxa"/>
                    <w:bottom w:w="0" w:type="dxa"/>
                    <w:right w:w="70" w:type="dxa"/>
                  </w:tcMar>
                  <w:vAlign w:val="center"/>
                  <w:hideMark/>
                </w:tcPr>
                <w:p w14:paraId="265B085B" w14:textId="77777777" w:rsidR="00586067" w:rsidRPr="00CB35F3" w:rsidRDefault="00586067" w:rsidP="00B23B4A">
                  <w:pPr>
                    <w:framePr w:hSpace="141" w:wrap="around" w:vAnchor="text" w:hAnchor="text" w:xAlign="center" w:y="1"/>
                    <w:suppressOverlap/>
                    <w:rPr>
                      <w:b/>
                      <w:bCs/>
                    </w:rPr>
                  </w:pPr>
                  <w:r w:rsidRPr="00CB35F3">
                    <w:rPr>
                      <w:b/>
                      <w:bCs/>
                    </w:rPr>
                    <w:t>33</w:t>
                  </w:r>
                </w:p>
              </w:tc>
              <w:tc>
                <w:tcPr>
                  <w:tcW w:w="948" w:type="dxa"/>
                  <w:tcMar>
                    <w:top w:w="0" w:type="dxa"/>
                    <w:left w:w="70" w:type="dxa"/>
                    <w:bottom w:w="0" w:type="dxa"/>
                    <w:right w:w="70" w:type="dxa"/>
                  </w:tcMar>
                  <w:vAlign w:val="center"/>
                  <w:hideMark/>
                </w:tcPr>
                <w:p w14:paraId="0D5C63DA" w14:textId="77777777" w:rsidR="00586067" w:rsidRPr="00CB35F3" w:rsidRDefault="00586067" w:rsidP="00B23B4A">
                  <w:pPr>
                    <w:framePr w:hSpace="141" w:wrap="around" w:vAnchor="text" w:hAnchor="text" w:xAlign="center" w:y="1"/>
                    <w:suppressOverlap/>
                    <w:rPr>
                      <w:b/>
                      <w:bCs/>
                    </w:rPr>
                  </w:pPr>
                  <w:r w:rsidRPr="00CB35F3">
                    <w:rPr>
                      <w:b/>
                      <w:bCs/>
                    </w:rPr>
                    <w:t>9,40%</w:t>
                  </w:r>
                </w:p>
              </w:tc>
            </w:tr>
            <w:tr w:rsidR="00586067" w:rsidRPr="00CB35F3" w14:paraId="39102116" w14:textId="77777777" w:rsidTr="00667B32">
              <w:trPr>
                <w:trHeight w:val="315"/>
              </w:trPr>
              <w:tc>
                <w:tcPr>
                  <w:tcW w:w="748" w:type="dxa"/>
                  <w:tcMar>
                    <w:top w:w="0" w:type="dxa"/>
                    <w:left w:w="70" w:type="dxa"/>
                    <w:bottom w:w="0" w:type="dxa"/>
                    <w:right w:w="70" w:type="dxa"/>
                  </w:tcMar>
                  <w:vAlign w:val="center"/>
                  <w:hideMark/>
                </w:tcPr>
                <w:p w14:paraId="479DC8FE" w14:textId="77777777" w:rsidR="00586067" w:rsidRPr="00CB35F3" w:rsidRDefault="00586067" w:rsidP="00B23B4A">
                  <w:pPr>
                    <w:framePr w:hSpace="141" w:wrap="around" w:vAnchor="text" w:hAnchor="text" w:xAlign="center" w:y="1"/>
                    <w:suppressOverlap/>
                    <w:rPr>
                      <w:b/>
                      <w:bCs/>
                    </w:rPr>
                  </w:pPr>
                  <w:r w:rsidRPr="00CB35F3">
                    <w:rPr>
                      <w:b/>
                      <w:bCs/>
                    </w:rPr>
                    <w:t>4</w:t>
                  </w:r>
                </w:p>
              </w:tc>
              <w:tc>
                <w:tcPr>
                  <w:tcW w:w="930" w:type="dxa"/>
                  <w:tcMar>
                    <w:top w:w="0" w:type="dxa"/>
                    <w:left w:w="70" w:type="dxa"/>
                    <w:bottom w:w="0" w:type="dxa"/>
                    <w:right w:w="70" w:type="dxa"/>
                  </w:tcMar>
                  <w:vAlign w:val="center"/>
                  <w:hideMark/>
                </w:tcPr>
                <w:p w14:paraId="0B348142" w14:textId="77777777" w:rsidR="00586067" w:rsidRPr="00CB35F3" w:rsidRDefault="00586067" w:rsidP="00B23B4A">
                  <w:pPr>
                    <w:framePr w:hSpace="141" w:wrap="around" w:vAnchor="text" w:hAnchor="text" w:xAlign="center" w:y="1"/>
                    <w:suppressOverlap/>
                    <w:rPr>
                      <w:b/>
                      <w:bCs/>
                    </w:rPr>
                  </w:pPr>
                  <w:r w:rsidRPr="00CB35F3">
                    <w:rPr>
                      <w:b/>
                      <w:bCs/>
                    </w:rPr>
                    <w:t>195</w:t>
                  </w:r>
                </w:p>
              </w:tc>
              <w:tc>
                <w:tcPr>
                  <w:tcW w:w="1035" w:type="dxa"/>
                  <w:tcMar>
                    <w:top w:w="0" w:type="dxa"/>
                    <w:left w:w="70" w:type="dxa"/>
                    <w:bottom w:w="0" w:type="dxa"/>
                    <w:right w:w="70" w:type="dxa"/>
                  </w:tcMar>
                  <w:vAlign w:val="center"/>
                  <w:hideMark/>
                </w:tcPr>
                <w:p w14:paraId="784F714D" w14:textId="77777777" w:rsidR="00586067" w:rsidRPr="00CB35F3" w:rsidRDefault="00586067" w:rsidP="00B23B4A">
                  <w:pPr>
                    <w:framePr w:hSpace="141" w:wrap="around" w:vAnchor="text" w:hAnchor="text" w:xAlign="center" w:y="1"/>
                    <w:suppressOverlap/>
                    <w:rPr>
                      <w:b/>
                      <w:bCs/>
                    </w:rPr>
                  </w:pPr>
                  <w:r w:rsidRPr="00CB35F3">
                    <w:rPr>
                      <w:b/>
                      <w:bCs/>
                    </w:rPr>
                    <w:t>191</w:t>
                  </w:r>
                </w:p>
              </w:tc>
              <w:tc>
                <w:tcPr>
                  <w:tcW w:w="1035" w:type="dxa"/>
                  <w:tcMar>
                    <w:top w:w="0" w:type="dxa"/>
                    <w:left w:w="70" w:type="dxa"/>
                    <w:bottom w:w="0" w:type="dxa"/>
                    <w:right w:w="70" w:type="dxa"/>
                  </w:tcMar>
                  <w:vAlign w:val="center"/>
                  <w:hideMark/>
                </w:tcPr>
                <w:p w14:paraId="1ABA9D3F" w14:textId="77777777" w:rsidR="00586067" w:rsidRPr="00CB35F3" w:rsidRDefault="00586067" w:rsidP="00B23B4A">
                  <w:pPr>
                    <w:framePr w:hSpace="141" w:wrap="around" w:vAnchor="text" w:hAnchor="text" w:xAlign="center" w:y="1"/>
                    <w:suppressOverlap/>
                    <w:rPr>
                      <w:b/>
                      <w:bCs/>
                    </w:rPr>
                  </w:pPr>
                  <w:r w:rsidRPr="00CB35F3">
                    <w:rPr>
                      <w:b/>
                      <w:bCs/>
                    </w:rPr>
                    <w:t>386</w:t>
                  </w:r>
                </w:p>
              </w:tc>
              <w:tc>
                <w:tcPr>
                  <w:tcW w:w="930" w:type="dxa"/>
                  <w:tcMar>
                    <w:top w:w="0" w:type="dxa"/>
                    <w:left w:w="70" w:type="dxa"/>
                    <w:bottom w:w="0" w:type="dxa"/>
                    <w:right w:w="70" w:type="dxa"/>
                  </w:tcMar>
                  <w:vAlign w:val="center"/>
                  <w:hideMark/>
                </w:tcPr>
                <w:p w14:paraId="042F408C" w14:textId="77777777" w:rsidR="00586067" w:rsidRPr="00CB35F3" w:rsidRDefault="00586067" w:rsidP="00B23B4A">
                  <w:pPr>
                    <w:framePr w:hSpace="141" w:wrap="around" w:vAnchor="text" w:hAnchor="text" w:xAlign="center" w:y="1"/>
                    <w:suppressOverlap/>
                    <w:rPr>
                      <w:b/>
                      <w:bCs/>
                    </w:rPr>
                  </w:pPr>
                  <w:r w:rsidRPr="00CB35F3">
                    <w:rPr>
                      <w:b/>
                      <w:bCs/>
                    </w:rPr>
                    <w:t>21</w:t>
                  </w:r>
                </w:p>
              </w:tc>
              <w:tc>
                <w:tcPr>
                  <w:tcW w:w="1035" w:type="dxa"/>
                  <w:tcMar>
                    <w:top w:w="0" w:type="dxa"/>
                    <w:left w:w="70" w:type="dxa"/>
                    <w:bottom w:w="0" w:type="dxa"/>
                    <w:right w:w="70" w:type="dxa"/>
                  </w:tcMar>
                  <w:vAlign w:val="center"/>
                  <w:hideMark/>
                </w:tcPr>
                <w:p w14:paraId="23CBF95A" w14:textId="77777777" w:rsidR="00586067" w:rsidRPr="00CB35F3" w:rsidRDefault="00586067" w:rsidP="00B23B4A">
                  <w:pPr>
                    <w:framePr w:hSpace="141" w:wrap="around" w:vAnchor="text" w:hAnchor="text" w:xAlign="center" w:y="1"/>
                    <w:suppressOverlap/>
                    <w:rPr>
                      <w:b/>
                      <w:bCs/>
                    </w:rPr>
                  </w:pPr>
                  <w:r w:rsidRPr="00CB35F3">
                    <w:rPr>
                      <w:b/>
                      <w:bCs/>
                    </w:rPr>
                    <w:t>22</w:t>
                  </w:r>
                </w:p>
              </w:tc>
              <w:tc>
                <w:tcPr>
                  <w:tcW w:w="1035" w:type="dxa"/>
                  <w:tcMar>
                    <w:top w:w="0" w:type="dxa"/>
                    <w:left w:w="70" w:type="dxa"/>
                    <w:bottom w:w="0" w:type="dxa"/>
                    <w:right w:w="70" w:type="dxa"/>
                  </w:tcMar>
                  <w:vAlign w:val="center"/>
                  <w:hideMark/>
                </w:tcPr>
                <w:p w14:paraId="6329B7E7" w14:textId="77777777" w:rsidR="00586067" w:rsidRPr="00CB35F3" w:rsidRDefault="00586067" w:rsidP="00B23B4A">
                  <w:pPr>
                    <w:framePr w:hSpace="141" w:wrap="around" w:vAnchor="text" w:hAnchor="text" w:xAlign="center" w:y="1"/>
                    <w:suppressOverlap/>
                    <w:rPr>
                      <w:b/>
                      <w:bCs/>
                    </w:rPr>
                  </w:pPr>
                  <w:r w:rsidRPr="00CB35F3">
                    <w:rPr>
                      <w:b/>
                      <w:bCs/>
                    </w:rPr>
                    <w:t>43</w:t>
                  </w:r>
                </w:p>
              </w:tc>
              <w:tc>
                <w:tcPr>
                  <w:tcW w:w="948" w:type="dxa"/>
                  <w:tcMar>
                    <w:top w:w="0" w:type="dxa"/>
                    <w:left w:w="70" w:type="dxa"/>
                    <w:bottom w:w="0" w:type="dxa"/>
                    <w:right w:w="70" w:type="dxa"/>
                  </w:tcMar>
                  <w:vAlign w:val="center"/>
                  <w:hideMark/>
                </w:tcPr>
                <w:p w14:paraId="5280FA53" w14:textId="77777777" w:rsidR="00586067" w:rsidRPr="00CB35F3" w:rsidRDefault="00586067" w:rsidP="00B23B4A">
                  <w:pPr>
                    <w:framePr w:hSpace="141" w:wrap="around" w:vAnchor="text" w:hAnchor="text" w:xAlign="center" w:y="1"/>
                    <w:suppressOverlap/>
                    <w:rPr>
                      <w:b/>
                      <w:bCs/>
                    </w:rPr>
                  </w:pPr>
                  <w:r w:rsidRPr="00CB35F3">
                    <w:rPr>
                      <w:b/>
                      <w:bCs/>
                    </w:rPr>
                    <w:t>11,14%</w:t>
                  </w:r>
                </w:p>
              </w:tc>
            </w:tr>
            <w:tr w:rsidR="00586067" w:rsidRPr="00CB35F3" w14:paraId="62672006" w14:textId="77777777" w:rsidTr="00667B32">
              <w:trPr>
                <w:trHeight w:val="315"/>
              </w:trPr>
              <w:tc>
                <w:tcPr>
                  <w:tcW w:w="748" w:type="dxa"/>
                  <w:tcMar>
                    <w:top w:w="0" w:type="dxa"/>
                    <w:left w:w="70" w:type="dxa"/>
                    <w:bottom w:w="0" w:type="dxa"/>
                    <w:right w:w="70" w:type="dxa"/>
                  </w:tcMar>
                  <w:vAlign w:val="center"/>
                  <w:hideMark/>
                </w:tcPr>
                <w:p w14:paraId="3AD22827" w14:textId="77777777" w:rsidR="00586067" w:rsidRPr="00CB35F3" w:rsidRDefault="00586067" w:rsidP="00B23B4A">
                  <w:pPr>
                    <w:framePr w:hSpace="141" w:wrap="around" w:vAnchor="text" w:hAnchor="text" w:xAlign="center" w:y="1"/>
                    <w:suppressOverlap/>
                    <w:rPr>
                      <w:b/>
                      <w:bCs/>
                    </w:rPr>
                  </w:pPr>
                  <w:r w:rsidRPr="00CB35F3">
                    <w:rPr>
                      <w:b/>
                      <w:bCs/>
                    </w:rPr>
                    <w:t>5</w:t>
                  </w:r>
                </w:p>
              </w:tc>
              <w:tc>
                <w:tcPr>
                  <w:tcW w:w="930" w:type="dxa"/>
                  <w:tcMar>
                    <w:top w:w="0" w:type="dxa"/>
                    <w:left w:w="70" w:type="dxa"/>
                    <w:bottom w:w="0" w:type="dxa"/>
                    <w:right w:w="70" w:type="dxa"/>
                  </w:tcMar>
                  <w:vAlign w:val="center"/>
                  <w:hideMark/>
                </w:tcPr>
                <w:p w14:paraId="2B5B2DDF" w14:textId="77777777" w:rsidR="00586067" w:rsidRPr="00CB35F3" w:rsidRDefault="00586067" w:rsidP="00B23B4A">
                  <w:pPr>
                    <w:framePr w:hSpace="141" w:wrap="around" w:vAnchor="text" w:hAnchor="text" w:xAlign="center" w:y="1"/>
                    <w:suppressOverlap/>
                    <w:rPr>
                      <w:b/>
                      <w:bCs/>
                    </w:rPr>
                  </w:pPr>
                  <w:r w:rsidRPr="00CB35F3">
                    <w:rPr>
                      <w:b/>
                      <w:bCs/>
                    </w:rPr>
                    <w:t>199</w:t>
                  </w:r>
                </w:p>
              </w:tc>
              <w:tc>
                <w:tcPr>
                  <w:tcW w:w="1035" w:type="dxa"/>
                  <w:tcMar>
                    <w:top w:w="0" w:type="dxa"/>
                    <w:left w:w="70" w:type="dxa"/>
                    <w:bottom w:w="0" w:type="dxa"/>
                    <w:right w:w="70" w:type="dxa"/>
                  </w:tcMar>
                  <w:vAlign w:val="center"/>
                  <w:hideMark/>
                </w:tcPr>
                <w:p w14:paraId="63FB8559" w14:textId="77777777" w:rsidR="00586067" w:rsidRPr="00CB35F3" w:rsidRDefault="00586067" w:rsidP="00B23B4A">
                  <w:pPr>
                    <w:framePr w:hSpace="141" w:wrap="around" w:vAnchor="text" w:hAnchor="text" w:xAlign="center" w:y="1"/>
                    <w:suppressOverlap/>
                    <w:rPr>
                      <w:b/>
                      <w:bCs/>
                    </w:rPr>
                  </w:pPr>
                  <w:r w:rsidRPr="00CB35F3">
                    <w:rPr>
                      <w:b/>
                      <w:bCs/>
                    </w:rPr>
                    <w:t>172</w:t>
                  </w:r>
                </w:p>
              </w:tc>
              <w:tc>
                <w:tcPr>
                  <w:tcW w:w="1035" w:type="dxa"/>
                  <w:tcMar>
                    <w:top w:w="0" w:type="dxa"/>
                    <w:left w:w="70" w:type="dxa"/>
                    <w:bottom w:w="0" w:type="dxa"/>
                    <w:right w:w="70" w:type="dxa"/>
                  </w:tcMar>
                  <w:vAlign w:val="center"/>
                  <w:hideMark/>
                </w:tcPr>
                <w:p w14:paraId="43379028" w14:textId="77777777" w:rsidR="00586067" w:rsidRPr="00CB35F3" w:rsidRDefault="00586067" w:rsidP="00B23B4A">
                  <w:pPr>
                    <w:framePr w:hSpace="141" w:wrap="around" w:vAnchor="text" w:hAnchor="text" w:xAlign="center" w:y="1"/>
                    <w:suppressOverlap/>
                    <w:rPr>
                      <w:b/>
                      <w:bCs/>
                    </w:rPr>
                  </w:pPr>
                  <w:r w:rsidRPr="00CB35F3">
                    <w:rPr>
                      <w:b/>
                      <w:bCs/>
                    </w:rPr>
                    <w:t>371</w:t>
                  </w:r>
                </w:p>
              </w:tc>
              <w:tc>
                <w:tcPr>
                  <w:tcW w:w="930" w:type="dxa"/>
                  <w:tcMar>
                    <w:top w:w="0" w:type="dxa"/>
                    <w:left w:w="70" w:type="dxa"/>
                    <w:bottom w:w="0" w:type="dxa"/>
                    <w:right w:w="70" w:type="dxa"/>
                  </w:tcMar>
                  <w:vAlign w:val="center"/>
                  <w:hideMark/>
                </w:tcPr>
                <w:p w14:paraId="45A22CCB" w14:textId="77777777" w:rsidR="00586067" w:rsidRPr="00CB35F3" w:rsidRDefault="00586067" w:rsidP="00B23B4A">
                  <w:pPr>
                    <w:framePr w:hSpace="141" w:wrap="around" w:vAnchor="text" w:hAnchor="text" w:xAlign="center" w:y="1"/>
                    <w:suppressOverlap/>
                    <w:rPr>
                      <w:b/>
                      <w:bCs/>
                    </w:rPr>
                  </w:pPr>
                  <w:r w:rsidRPr="00CB35F3">
                    <w:rPr>
                      <w:b/>
                      <w:bCs/>
                    </w:rPr>
                    <w:t>27</w:t>
                  </w:r>
                </w:p>
              </w:tc>
              <w:tc>
                <w:tcPr>
                  <w:tcW w:w="1035" w:type="dxa"/>
                  <w:tcMar>
                    <w:top w:w="0" w:type="dxa"/>
                    <w:left w:w="70" w:type="dxa"/>
                    <w:bottom w:w="0" w:type="dxa"/>
                    <w:right w:w="70" w:type="dxa"/>
                  </w:tcMar>
                  <w:vAlign w:val="center"/>
                  <w:hideMark/>
                </w:tcPr>
                <w:p w14:paraId="799D2E8D" w14:textId="77777777" w:rsidR="00586067" w:rsidRPr="00CB35F3" w:rsidRDefault="00586067" w:rsidP="00B23B4A">
                  <w:pPr>
                    <w:framePr w:hSpace="141" w:wrap="around" w:vAnchor="text" w:hAnchor="text" w:xAlign="center" w:y="1"/>
                    <w:suppressOverlap/>
                    <w:rPr>
                      <w:b/>
                      <w:bCs/>
                    </w:rPr>
                  </w:pPr>
                  <w:r w:rsidRPr="00CB35F3">
                    <w:rPr>
                      <w:b/>
                      <w:bCs/>
                    </w:rPr>
                    <w:t>27</w:t>
                  </w:r>
                </w:p>
              </w:tc>
              <w:tc>
                <w:tcPr>
                  <w:tcW w:w="1035" w:type="dxa"/>
                  <w:tcMar>
                    <w:top w:w="0" w:type="dxa"/>
                    <w:left w:w="70" w:type="dxa"/>
                    <w:bottom w:w="0" w:type="dxa"/>
                    <w:right w:w="70" w:type="dxa"/>
                  </w:tcMar>
                  <w:vAlign w:val="center"/>
                  <w:hideMark/>
                </w:tcPr>
                <w:p w14:paraId="1E0FCA04" w14:textId="77777777" w:rsidR="00586067" w:rsidRPr="00CB35F3" w:rsidRDefault="00586067" w:rsidP="00B23B4A">
                  <w:pPr>
                    <w:framePr w:hSpace="141" w:wrap="around" w:vAnchor="text" w:hAnchor="text" w:xAlign="center" w:y="1"/>
                    <w:suppressOverlap/>
                    <w:rPr>
                      <w:b/>
                      <w:bCs/>
                    </w:rPr>
                  </w:pPr>
                  <w:r w:rsidRPr="00CB35F3">
                    <w:rPr>
                      <w:b/>
                      <w:bCs/>
                    </w:rPr>
                    <w:t>54</w:t>
                  </w:r>
                </w:p>
              </w:tc>
              <w:tc>
                <w:tcPr>
                  <w:tcW w:w="948" w:type="dxa"/>
                  <w:tcMar>
                    <w:top w:w="0" w:type="dxa"/>
                    <w:left w:w="70" w:type="dxa"/>
                    <w:bottom w:w="0" w:type="dxa"/>
                    <w:right w:w="70" w:type="dxa"/>
                  </w:tcMar>
                  <w:vAlign w:val="center"/>
                  <w:hideMark/>
                </w:tcPr>
                <w:p w14:paraId="5EC5B96B" w14:textId="77777777" w:rsidR="00586067" w:rsidRPr="00CB35F3" w:rsidRDefault="00586067" w:rsidP="00B23B4A">
                  <w:pPr>
                    <w:framePr w:hSpace="141" w:wrap="around" w:vAnchor="text" w:hAnchor="text" w:xAlign="center" w:y="1"/>
                    <w:suppressOverlap/>
                    <w:rPr>
                      <w:b/>
                      <w:bCs/>
                    </w:rPr>
                  </w:pPr>
                  <w:r w:rsidRPr="00CB35F3">
                    <w:rPr>
                      <w:b/>
                      <w:bCs/>
                    </w:rPr>
                    <w:t>14,56%</w:t>
                  </w:r>
                </w:p>
              </w:tc>
            </w:tr>
            <w:tr w:rsidR="00586067" w:rsidRPr="00CB35F3" w14:paraId="5028A150" w14:textId="77777777" w:rsidTr="00667B32">
              <w:trPr>
                <w:trHeight w:val="315"/>
              </w:trPr>
              <w:tc>
                <w:tcPr>
                  <w:tcW w:w="748" w:type="dxa"/>
                  <w:tcMar>
                    <w:top w:w="0" w:type="dxa"/>
                    <w:left w:w="70" w:type="dxa"/>
                    <w:bottom w:w="0" w:type="dxa"/>
                    <w:right w:w="70" w:type="dxa"/>
                  </w:tcMar>
                  <w:vAlign w:val="center"/>
                  <w:hideMark/>
                </w:tcPr>
                <w:p w14:paraId="29448470" w14:textId="77777777" w:rsidR="00586067" w:rsidRPr="00CB35F3" w:rsidRDefault="00586067" w:rsidP="00B23B4A">
                  <w:pPr>
                    <w:framePr w:hSpace="141" w:wrap="around" w:vAnchor="text" w:hAnchor="text" w:xAlign="center" w:y="1"/>
                    <w:suppressOverlap/>
                    <w:rPr>
                      <w:b/>
                      <w:bCs/>
                    </w:rPr>
                  </w:pPr>
                  <w:r w:rsidRPr="00CB35F3">
                    <w:rPr>
                      <w:b/>
                      <w:bCs/>
                    </w:rPr>
                    <w:t>6</w:t>
                  </w:r>
                </w:p>
              </w:tc>
              <w:tc>
                <w:tcPr>
                  <w:tcW w:w="930" w:type="dxa"/>
                  <w:tcMar>
                    <w:top w:w="0" w:type="dxa"/>
                    <w:left w:w="70" w:type="dxa"/>
                    <w:bottom w:w="0" w:type="dxa"/>
                    <w:right w:w="70" w:type="dxa"/>
                  </w:tcMar>
                  <w:vAlign w:val="center"/>
                  <w:hideMark/>
                </w:tcPr>
                <w:p w14:paraId="449972A3" w14:textId="77777777" w:rsidR="00586067" w:rsidRPr="00CB35F3" w:rsidRDefault="00586067" w:rsidP="00B23B4A">
                  <w:pPr>
                    <w:framePr w:hSpace="141" w:wrap="around" w:vAnchor="text" w:hAnchor="text" w:xAlign="center" w:y="1"/>
                    <w:suppressOverlap/>
                    <w:rPr>
                      <w:b/>
                      <w:bCs/>
                    </w:rPr>
                  </w:pPr>
                  <w:r w:rsidRPr="00CB35F3">
                    <w:rPr>
                      <w:b/>
                      <w:bCs/>
                    </w:rPr>
                    <w:t>201</w:t>
                  </w:r>
                </w:p>
              </w:tc>
              <w:tc>
                <w:tcPr>
                  <w:tcW w:w="1035" w:type="dxa"/>
                  <w:tcMar>
                    <w:top w:w="0" w:type="dxa"/>
                    <w:left w:w="70" w:type="dxa"/>
                    <w:bottom w:w="0" w:type="dxa"/>
                    <w:right w:w="70" w:type="dxa"/>
                  </w:tcMar>
                  <w:vAlign w:val="center"/>
                  <w:hideMark/>
                </w:tcPr>
                <w:p w14:paraId="4DCFA8A9" w14:textId="77777777" w:rsidR="00586067" w:rsidRPr="00CB35F3" w:rsidRDefault="00586067" w:rsidP="00B23B4A">
                  <w:pPr>
                    <w:framePr w:hSpace="141" w:wrap="around" w:vAnchor="text" w:hAnchor="text" w:xAlign="center" w:y="1"/>
                    <w:suppressOverlap/>
                    <w:rPr>
                      <w:b/>
                      <w:bCs/>
                    </w:rPr>
                  </w:pPr>
                  <w:r w:rsidRPr="00CB35F3">
                    <w:rPr>
                      <w:b/>
                      <w:bCs/>
                    </w:rPr>
                    <w:t>172</w:t>
                  </w:r>
                </w:p>
              </w:tc>
              <w:tc>
                <w:tcPr>
                  <w:tcW w:w="1035" w:type="dxa"/>
                  <w:tcMar>
                    <w:top w:w="0" w:type="dxa"/>
                    <w:left w:w="70" w:type="dxa"/>
                    <w:bottom w:w="0" w:type="dxa"/>
                    <w:right w:w="70" w:type="dxa"/>
                  </w:tcMar>
                  <w:vAlign w:val="center"/>
                  <w:hideMark/>
                </w:tcPr>
                <w:p w14:paraId="3286463E" w14:textId="77777777" w:rsidR="00586067" w:rsidRPr="00CB35F3" w:rsidRDefault="00586067" w:rsidP="00B23B4A">
                  <w:pPr>
                    <w:framePr w:hSpace="141" w:wrap="around" w:vAnchor="text" w:hAnchor="text" w:xAlign="center" w:y="1"/>
                    <w:suppressOverlap/>
                    <w:rPr>
                      <w:b/>
                      <w:bCs/>
                    </w:rPr>
                  </w:pPr>
                  <w:r w:rsidRPr="00CB35F3">
                    <w:rPr>
                      <w:b/>
                      <w:bCs/>
                    </w:rPr>
                    <w:t>373</w:t>
                  </w:r>
                </w:p>
              </w:tc>
              <w:tc>
                <w:tcPr>
                  <w:tcW w:w="930" w:type="dxa"/>
                  <w:tcMar>
                    <w:top w:w="0" w:type="dxa"/>
                    <w:left w:w="70" w:type="dxa"/>
                    <w:bottom w:w="0" w:type="dxa"/>
                    <w:right w:w="70" w:type="dxa"/>
                  </w:tcMar>
                  <w:vAlign w:val="center"/>
                  <w:hideMark/>
                </w:tcPr>
                <w:p w14:paraId="6441931C" w14:textId="77777777" w:rsidR="00586067" w:rsidRPr="00CB35F3" w:rsidRDefault="00586067" w:rsidP="00B23B4A">
                  <w:pPr>
                    <w:framePr w:hSpace="141" w:wrap="around" w:vAnchor="text" w:hAnchor="text" w:xAlign="center" w:y="1"/>
                    <w:suppressOverlap/>
                    <w:rPr>
                      <w:b/>
                      <w:bCs/>
                    </w:rPr>
                  </w:pPr>
                  <w:r w:rsidRPr="00CB35F3">
                    <w:rPr>
                      <w:b/>
                      <w:bCs/>
                    </w:rPr>
                    <w:t>33</w:t>
                  </w:r>
                </w:p>
              </w:tc>
              <w:tc>
                <w:tcPr>
                  <w:tcW w:w="1035" w:type="dxa"/>
                  <w:tcMar>
                    <w:top w:w="0" w:type="dxa"/>
                    <w:left w:w="70" w:type="dxa"/>
                    <w:bottom w:w="0" w:type="dxa"/>
                    <w:right w:w="70" w:type="dxa"/>
                  </w:tcMar>
                  <w:vAlign w:val="center"/>
                  <w:hideMark/>
                </w:tcPr>
                <w:p w14:paraId="42B58A2A" w14:textId="77777777" w:rsidR="00586067" w:rsidRPr="00CB35F3" w:rsidRDefault="00586067" w:rsidP="00B23B4A">
                  <w:pPr>
                    <w:framePr w:hSpace="141" w:wrap="around" w:vAnchor="text" w:hAnchor="text" w:xAlign="center" w:y="1"/>
                    <w:suppressOverlap/>
                    <w:rPr>
                      <w:b/>
                      <w:bCs/>
                    </w:rPr>
                  </w:pPr>
                  <w:r w:rsidRPr="00CB35F3">
                    <w:rPr>
                      <w:b/>
                      <w:bCs/>
                    </w:rPr>
                    <w:t>17</w:t>
                  </w:r>
                </w:p>
              </w:tc>
              <w:tc>
                <w:tcPr>
                  <w:tcW w:w="1035" w:type="dxa"/>
                  <w:tcMar>
                    <w:top w:w="0" w:type="dxa"/>
                    <w:left w:w="70" w:type="dxa"/>
                    <w:bottom w:w="0" w:type="dxa"/>
                    <w:right w:w="70" w:type="dxa"/>
                  </w:tcMar>
                  <w:vAlign w:val="center"/>
                  <w:hideMark/>
                </w:tcPr>
                <w:p w14:paraId="498243CD" w14:textId="77777777" w:rsidR="00586067" w:rsidRPr="00CB35F3" w:rsidRDefault="00586067" w:rsidP="00B23B4A">
                  <w:pPr>
                    <w:framePr w:hSpace="141" w:wrap="around" w:vAnchor="text" w:hAnchor="text" w:xAlign="center" w:y="1"/>
                    <w:suppressOverlap/>
                    <w:rPr>
                      <w:b/>
                      <w:bCs/>
                    </w:rPr>
                  </w:pPr>
                  <w:r w:rsidRPr="00CB35F3">
                    <w:rPr>
                      <w:b/>
                      <w:bCs/>
                    </w:rPr>
                    <w:t>50</w:t>
                  </w:r>
                </w:p>
              </w:tc>
              <w:tc>
                <w:tcPr>
                  <w:tcW w:w="948" w:type="dxa"/>
                  <w:tcMar>
                    <w:top w:w="0" w:type="dxa"/>
                    <w:left w:w="70" w:type="dxa"/>
                    <w:bottom w:w="0" w:type="dxa"/>
                    <w:right w:w="70" w:type="dxa"/>
                  </w:tcMar>
                  <w:vAlign w:val="center"/>
                  <w:hideMark/>
                </w:tcPr>
                <w:p w14:paraId="256FE172" w14:textId="77777777" w:rsidR="00586067" w:rsidRPr="00CB35F3" w:rsidRDefault="00586067" w:rsidP="00B23B4A">
                  <w:pPr>
                    <w:framePr w:hSpace="141" w:wrap="around" w:vAnchor="text" w:hAnchor="text" w:xAlign="center" w:y="1"/>
                    <w:suppressOverlap/>
                    <w:rPr>
                      <w:b/>
                      <w:bCs/>
                    </w:rPr>
                  </w:pPr>
                  <w:r w:rsidRPr="00CB35F3">
                    <w:rPr>
                      <w:b/>
                      <w:bCs/>
                    </w:rPr>
                    <w:t>13,40%</w:t>
                  </w:r>
                </w:p>
              </w:tc>
            </w:tr>
            <w:tr w:rsidR="00586067" w:rsidRPr="00CB35F3" w14:paraId="15716B02" w14:textId="77777777" w:rsidTr="00667B32">
              <w:trPr>
                <w:trHeight w:val="315"/>
              </w:trPr>
              <w:tc>
                <w:tcPr>
                  <w:tcW w:w="748" w:type="dxa"/>
                  <w:tcMar>
                    <w:top w:w="0" w:type="dxa"/>
                    <w:left w:w="70" w:type="dxa"/>
                    <w:bottom w:w="0" w:type="dxa"/>
                    <w:right w:w="70" w:type="dxa"/>
                  </w:tcMar>
                  <w:vAlign w:val="center"/>
                  <w:hideMark/>
                </w:tcPr>
                <w:p w14:paraId="41C15E2B" w14:textId="77777777" w:rsidR="00586067" w:rsidRPr="00CB35F3" w:rsidRDefault="00586067" w:rsidP="00B23B4A">
                  <w:pPr>
                    <w:framePr w:hSpace="141" w:wrap="around" w:vAnchor="text" w:hAnchor="text" w:xAlign="center" w:y="1"/>
                    <w:suppressOverlap/>
                    <w:rPr>
                      <w:b/>
                      <w:bCs/>
                    </w:rPr>
                  </w:pPr>
                  <w:r w:rsidRPr="00CB35F3">
                    <w:rPr>
                      <w:b/>
                      <w:bCs/>
                    </w:rPr>
                    <w:lastRenderedPageBreak/>
                    <w:t>7</w:t>
                  </w:r>
                </w:p>
              </w:tc>
              <w:tc>
                <w:tcPr>
                  <w:tcW w:w="930" w:type="dxa"/>
                  <w:tcMar>
                    <w:top w:w="0" w:type="dxa"/>
                    <w:left w:w="70" w:type="dxa"/>
                    <w:bottom w:w="0" w:type="dxa"/>
                    <w:right w:w="70" w:type="dxa"/>
                  </w:tcMar>
                  <w:vAlign w:val="center"/>
                  <w:hideMark/>
                </w:tcPr>
                <w:p w14:paraId="324664E0" w14:textId="77777777" w:rsidR="00586067" w:rsidRPr="00CB35F3" w:rsidRDefault="00586067" w:rsidP="00B23B4A">
                  <w:pPr>
                    <w:framePr w:hSpace="141" w:wrap="around" w:vAnchor="text" w:hAnchor="text" w:xAlign="center" w:y="1"/>
                    <w:suppressOverlap/>
                    <w:rPr>
                      <w:b/>
                      <w:bCs/>
                    </w:rPr>
                  </w:pPr>
                  <w:r w:rsidRPr="00CB35F3">
                    <w:rPr>
                      <w:b/>
                      <w:bCs/>
                    </w:rPr>
                    <w:t>228</w:t>
                  </w:r>
                </w:p>
              </w:tc>
              <w:tc>
                <w:tcPr>
                  <w:tcW w:w="1035" w:type="dxa"/>
                  <w:tcMar>
                    <w:top w:w="0" w:type="dxa"/>
                    <w:left w:w="70" w:type="dxa"/>
                    <w:bottom w:w="0" w:type="dxa"/>
                    <w:right w:w="70" w:type="dxa"/>
                  </w:tcMar>
                  <w:vAlign w:val="center"/>
                  <w:hideMark/>
                </w:tcPr>
                <w:p w14:paraId="5198A344" w14:textId="77777777" w:rsidR="00586067" w:rsidRPr="00CB35F3" w:rsidRDefault="00586067" w:rsidP="00B23B4A">
                  <w:pPr>
                    <w:framePr w:hSpace="141" w:wrap="around" w:vAnchor="text" w:hAnchor="text" w:xAlign="center" w:y="1"/>
                    <w:suppressOverlap/>
                    <w:rPr>
                      <w:b/>
                      <w:bCs/>
                    </w:rPr>
                  </w:pPr>
                  <w:r w:rsidRPr="00CB35F3">
                    <w:rPr>
                      <w:b/>
                      <w:bCs/>
                    </w:rPr>
                    <w:t>160</w:t>
                  </w:r>
                </w:p>
              </w:tc>
              <w:tc>
                <w:tcPr>
                  <w:tcW w:w="1035" w:type="dxa"/>
                  <w:tcMar>
                    <w:top w:w="0" w:type="dxa"/>
                    <w:left w:w="70" w:type="dxa"/>
                    <w:bottom w:w="0" w:type="dxa"/>
                    <w:right w:w="70" w:type="dxa"/>
                  </w:tcMar>
                  <w:vAlign w:val="center"/>
                  <w:hideMark/>
                </w:tcPr>
                <w:p w14:paraId="67BC42E4" w14:textId="77777777" w:rsidR="00586067" w:rsidRPr="00CB35F3" w:rsidRDefault="00586067" w:rsidP="00B23B4A">
                  <w:pPr>
                    <w:framePr w:hSpace="141" w:wrap="around" w:vAnchor="text" w:hAnchor="text" w:xAlign="center" w:y="1"/>
                    <w:suppressOverlap/>
                    <w:rPr>
                      <w:b/>
                      <w:bCs/>
                    </w:rPr>
                  </w:pPr>
                  <w:r w:rsidRPr="00CB35F3">
                    <w:rPr>
                      <w:b/>
                      <w:bCs/>
                    </w:rPr>
                    <w:t>388</w:t>
                  </w:r>
                </w:p>
              </w:tc>
              <w:tc>
                <w:tcPr>
                  <w:tcW w:w="930" w:type="dxa"/>
                  <w:tcMar>
                    <w:top w:w="0" w:type="dxa"/>
                    <w:left w:w="70" w:type="dxa"/>
                    <w:bottom w:w="0" w:type="dxa"/>
                    <w:right w:w="70" w:type="dxa"/>
                  </w:tcMar>
                  <w:vAlign w:val="center"/>
                  <w:hideMark/>
                </w:tcPr>
                <w:p w14:paraId="3C5F00D7" w14:textId="77777777" w:rsidR="00586067" w:rsidRPr="00CB35F3" w:rsidRDefault="00586067" w:rsidP="00B23B4A">
                  <w:pPr>
                    <w:framePr w:hSpace="141" w:wrap="around" w:vAnchor="text" w:hAnchor="text" w:xAlign="center" w:y="1"/>
                    <w:suppressOverlap/>
                    <w:rPr>
                      <w:b/>
                      <w:bCs/>
                    </w:rPr>
                  </w:pPr>
                  <w:r w:rsidRPr="00CB35F3">
                    <w:rPr>
                      <w:b/>
                      <w:bCs/>
                    </w:rPr>
                    <w:t>23</w:t>
                  </w:r>
                </w:p>
              </w:tc>
              <w:tc>
                <w:tcPr>
                  <w:tcW w:w="1035" w:type="dxa"/>
                  <w:tcMar>
                    <w:top w:w="0" w:type="dxa"/>
                    <w:left w:w="70" w:type="dxa"/>
                    <w:bottom w:w="0" w:type="dxa"/>
                    <w:right w:w="70" w:type="dxa"/>
                  </w:tcMar>
                  <w:vAlign w:val="center"/>
                  <w:hideMark/>
                </w:tcPr>
                <w:p w14:paraId="23B0140B" w14:textId="77777777" w:rsidR="00586067" w:rsidRPr="00CB35F3" w:rsidRDefault="00586067" w:rsidP="00B23B4A">
                  <w:pPr>
                    <w:framePr w:hSpace="141" w:wrap="around" w:vAnchor="text" w:hAnchor="text" w:xAlign="center" w:y="1"/>
                    <w:suppressOverlap/>
                    <w:rPr>
                      <w:b/>
                      <w:bCs/>
                    </w:rPr>
                  </w:pPr>
                  <w:r w:rsidRPr="00CB35F3">
                    <w:rPr>
                      <w:b/>
                      <w:bCs/>
                    </w:rPr>
                    <w:t>35</w:t>
                  </w:r>
                </w:p>
              </w:tc>
              <w:tc>
                <w:tcPr>
                  <w:tcW w:w="1035" w:type="dxa"/>
                  <w:tcMar>
                    <w:top w:w="0" w:type="dxa"/>
                    <w:left w:w="70" w:type="dxa"/>
                    <w:bottom w:w="0" w:type="dxa"/>
                    <w:right w:w="70" w:type="dxa"/>
                  </w:tcMar>
                  <w:vAlign w:val="center"/>
                  <w:hideMark/>
                </w:tcPr>
                <w:p w14:paraId="34FDBEF7" w14:textId="77777777" w:rsidR="00586067" w:rsidRPr="00CB35F3" w:rsidRDefault="00586067" w:rsidP="00B23B4A">
                  <w:pPr>
                    <w:framePr w:hSpace="141" w:wrap="around" w:vAnchor="text" w:hAnchor="text" w:xAlign="center" w:y="1"/>
                    <w:suppressOverlap/>
                    <w:rPr>
                      <w:b/>
                      <w:bCs/>
                    </w:rPr>
                  </w:pPr>
                  <w:r w:rsidRPr="00CB35F3">
                    <w:rPr>
                      <w:b/>
                      <w:bCs/>
                    </w:rPr>
                    <w:t>58</w:t>
                  </w:r>
                </w:p>
              </w:tc>
              <w:tc>
                <w:tcPr>
                  <w:tcW w:w="948" w:type="dxa"/>
                  <w:tcMar>
                    <w:top w:w="0" w:type="dxa"/>
                    <w:left w:w="70" w:type="dxa"/>
                    <w:bottom w:w="0" w:type="dxa"/>
                    <w:right w:w="70" w:type="dxa"/>
                  </w:tcMar>
                  <w:vAlign w:val="center"/>
                  <w:hideMark/>
                </w:tcPr>
                <w:p w14:paraId="0593E2D3" w14:textId="77777777" w:rsidR="00586067" w:rsidRPr="00CB35F3" w:rsidRDefault="00586067" w:rsidP="00B23B4A">
                  <w:pPr>
                    <w:framePr w:hSpace="141" w:wrap="around" w:vAnchor="text" w:hAnchor="text" w:xAlign="center" w:y="1"/>
                    <w:suppressOverlap/>
                    <w:rPr>
                      <w:b/>
                      <w:bCs/>
                    </w:rPr>
                  </w:pPr>
                  <w:r w:rsidRPr="00CB35F3">
                    <w:rPr>
                      <w:b/>
                      <w:bCs/>
                    </w:rPr>
                    <w:t>14,95%</w:t>
                  </w:r>
                </w:p>
              </w:tc>
            </w:tr>
            <w:tr w:rsidR="00586067" w:rsidRPr="00CB35F3" w14:paraId="7BFDBDA8" w14:textId="77777777" w:rsidTr="00667B32">
              <w:trPr>
                <w:trHeight w:val="315"/>
              </w:trPr>
              <w:tc>
                <w:tcPr>
                  <w:tcW w:w="748" w:type="dxa"/>
                  <w:tcMar>
                    <w:top w:w="0" w:type="dxa"/>
                    <w:left w:w="70" w:type="dxa"/>
                    <w:bottom w:w="0" w:type="dxa"/>
                    <w:right w:w="70" w:type="dxa"/>
                  </w:tcMar>
                  <w:vAlign w:val="center"/>
                  <w:hideMark/>
                </w:tcPr>
                <w:p w14:paraId="3B22E19A" w14:textId="77777777" w:rsidR="00586067" w:rsidRPr="00CB35F3" w:rsidRDefault="00586067" w:rsidP="00B23B4A">
                  <w:pPr>
                    <w:framePr w:hSpace="141" w:wrap="around" w:vAnchor="text" w:hAnchor="text" w:xAlign="center" w:y="1"/>
                    <w:suppressOverlap/>
                    <w:rPr>
                      <w:b/>
                      <w:bCs/>
                    </w:rPr>
                  </w:pPr>
                  <w:r w:rsidRPr="00CB35F3">
                    <w:rPr>
                      <w:b/>
                      <w:bCs/>
                    </w:rPr>
                    <w:t>8</w:t>
                  </w:r>
                </w:p>
              </w:tc>
              <w:tc>
                <w:tcPr>
                  <w:tcW w:w="930" w:type="dxa"/>
                  <w:tcMar>
                    <w:top w:w="0" w:type="dxa"/>
                    <w:left w:w="70" w:type="dxa"/>
                    <w:bottom w:w="0" w:type="dxa"/>
                    <w:right w:w="70" w:type="dxa"/>
                  </w:tcMar>
                  <w:vAlign w:val="center"/>
                  <w:hideMark/>
                </w:tcPr>
                <w:p w14:paraId="44359B6D" w14:textId="77777777" w:rsidR="00586067" w:rsidRPr="00CB35F3" w:rsidRDefault="00586067" w:rsidP="00B23B4A">
                  <w:pPr>
                    <w:framePr w:hSpace="141" w:wrap="around" w:vAnchor="text" w:hAnchor="text" w:xAlign="center" w:y="1"/>
                    <w:suppressOverlap/>
                    <w:rPr>
                      <w:b/>
                      <w:bCs/>
                    </w:rPr>
                  </w:pPr>
                  <w:r w:rsidRPr="00CB35F3">
                    <w:rPr>
                      <w:b/>
                      <w:bCs/>
                    </w:rPr>
                    <w:t>238</w:t>
                  </w:r>
                </w:p>
              </w:tc>
              <w:tc>
                <w:tcPr>
                  <w:tcW w:w="1035" w:type="dxa"/>
                  <w:tcMar>
                    <w:top w:w="0" w:type="dxa"/>
                    <w:left w:w="70" w:type="dxa"/>
                    <w:bottom w:w="0" w:type="dxa"/>
                    <w:right w:w="70" w:type="dxa"/>
                  </w:tcMar>
                  <w:vAlign w:val="center"/>
                  <w:hideMark/>
                </w:tcPr>
                <w:p w14:paraId="57986D34" w14:textId="77777777" w:rsidR="00586067" w:rsidRPr="00CB35F3" w:rsidRDefault="00586067" w:rsidP="00B23B4A">
                  <w:pPr>
                    <w:framePr w:hSpace="141" w:wrap="around" w:vAnchor="text" w:hAnchor="text" w:xAlign="center" w:y="1"/>
                    <w:suppressOverlap/>
                    <w:rPr>
                      <w:b/>
                      <w:bCs/>
                    </w:rPr>
                  </w:pPr>
                  <w:r w:rsidRPr="00CB35F3">
                    <w:rPr>
                      <w:b/>
                      <w:bCs/>
                    </w:rPr>
                    <w:t>211</w:t>
                  </w:r>
                </w:p>
              </w:tc>
              <w:tc>
                <w:tcPr>
                  <w:tcW w:w="1035" w:type="dxa"/>
                  <w:tcMar>
                    <w:top w:w="0" w:type="dxa"/>
                    <w:left w:w="70" w:type="dxa"/>
                    <w:bottom w:w="0" w:type="dxa"/>
                    <w:right w:w="70" w:type="dxa"/>
                  </w:tcMar>
                  <w:vAlign w:val="center"/>
                  <w:hideMark/>
                </w:tcPr>
                <w:p w14:paraId="0DA23E1C" w14:textId="77777777" w:rsidR="00586067" w:rsidRPr="00CB35F3" w:rsidRDefault="00586067" w:rsidP="00B23B4A">
                  <w:pPr>
                    <w:framePr w:hSpace="141" w:wrap="around" w:vAnchor="text" w:hAnchor="text" w:xAlign="center" w:y="1"/>
                    <w:suppressOverlap/>
                    <w:rPr>
                      <w:b/>
                      <w:bCs/>
                    </w:rPr>
                  </w:pPr>
                  <w:r w:rsidRPr="00CB35F3">
                    <w:rPr>
                      <w:b/>
                      <w:bCs/>
                    </w:rPr>
                    <w:t>449</w:t>
                  </w:r>
                </w:p>
              </w:tc>
              <w:tc>
                <w:tcPr>
                  <w:tcW w:w="930" w:type="dxa"/>
                  <w:tcMar>
                    <w:top w:w="0" w:type="dxa"/>
                    <w:left w:w="70" w:type="dxa"/>
                    <w:bottom w:w="0" w:type="dxa"/>
                    <w:right w:w="70" w:type="dxa"/>
                  </w:tcMar>
                  <w:vAlign w:val="center"/>
                  <w:hideMark/>
                </w:tcPr>
                <w:p w14:paraId="24355FF6" w14:textId="77777777" w:rsidR="00586067" w:rsidRPr="00CB35F3" w:rsidRDefault="00586067" w:rsidP="00B23B4A">
                  <w:pPr>
                    <w:framePr w:hSpace="141" w:wrap="around" w:vAnchor="text" w:hAnchor="text" w:xAlign="center" w:y="1"/>
                    <w:suppressOverlap/>
                    <w:rPr>
                      <w:b/>
                      <w:bCs/>
                    </w:rPr>
                  </w:pPr>
                  <w:r w:rsidRPr="00CB35F3">
                    <w:rPr>
                      <w:b/>
                      <w:bCs/>
                    </w:rPr>
                    <w:t>33</w:t>
                  </w:r>
                </w:p>
              </w:tc>
              <w:tc>
                <w:tcPr>
                  <w:tcW w:w="1035" w:type="dxa"/>
                  <w:tcMar>
                    <w:top w:w="0" w:type="dxa"/>
                    <w:left w:w="70" w:type="dxa"/>
                    <w:bottom w:w="0" w:type="dxa"/>
                    <w:right w:w="70" w:type="dxa"/>
                  </w:tcMar>
                  <w:vAlign w:val="center"/>
                  <w:hideMark/>
                </w:tcPr>
                <w:p w14:paraId="2EAF2527" w14:textId="77777777" w:rsidR="00586067" w:rsidRPr="00CB35F3" w:rsidRDefault="00586067" w:rsidP="00B23B4A">
                  <w:pPr>
                    <w:framePr w:hSpace="141" w:wrap="around" w:vAnchor="text" w:hAnchor="text" w:xAlign="center" w:y="1"/>
                    <w:suppressOverlap/>
                    <w:rPr>
                      <w:b/>
                      <w:bCs/>
                    </w:rPr>
                  </w:pPr>
                  <w:r w:rsidRPr="00CB35F3">
                    <w:rPr>
                      <w:b/>
                      <w:bCs/>
                    </w:rPr>
                    <w:t>27</w:t>
                  </w:r>
                </w:p>
              </w:tc>
              <w:tc>
                <w:tcPr>
                  <w:tcW w:w="1035" w:type="dxa"/>
                  <w:tcMar>
                    <w:top w:w="0" w:type="dxa"/>
                    <w:left w:w="70" w:type="dxa"/>
                    <w:bottom w:w="0" w:type="dxa"/>
                    <w:right w:w="70" w:type="dxa"/>
                  </w:tcMar>
                  <w:vAlign w:val="center"/>
                  <w:hideMark/>
                </w:tcPr>
                <w:p w14:paraId="10311945" w14:textId="77777777" w:rsidR="00586067" w:rsidRPr="00CB35F3" w:rsidRDefault="00586067" w:rsidP="00B23B4A">
                  <w:pPr>
                    <w:framePr w:hSpace="141" w:wrap="around" w:vAnchor="text" w:hAnchor="text" w:xAlign="center" w:y="1"/>
                    <w:suppressOverlap/>
                    <w:rPr>
                      <w:b/>
                      <w:bCs/>
                    </w:rPr>
                  </w:pPr>
                  <w:r w:rsidRPr="00CB35F3">
                    <w:rPr>
                      <w:b/>
                      <w:bCs/>
                    </w:rPr>
                    <w:t>60</w:t>
                  </w:r>
                </w:p>
              </w:tc>
              <w:tc>
                <w:tcPr>
                  <w:tcW w:w="948" w:type="dxa"/>
                  <w:tcMar>
                    <w:top w:w="0" w:type="dxa"/>
                    <w:left w:w="70" w:type="dxa"/>
                    <w:bottom w:w="0" w:type="dxa"/>
                    <w:right w:w="70" w:type="dxa"/>
                  </w:tcMar>
                  <w:vAlign w:val="center"/>
                  <w:hideMark/>
                </w:tcPr>
                <w:p w14:paraId="46A32636" w14:textId="77777777" w:rsidR="00586067" w:rsidRPr="00CB35F3" w:rsidRDefault="00586067" w:rsidP="00B23B4A">
                  <w:pPr>
                    <w:framePr w:hSpace="141" w:wrap="around" w:vAnchor="text" w:hAnchor="text" w:xAlign="center" w:y="1"/>
                    <w:suppressOverlap/>
                    <w:rPr>
                      <w:b/>
                      <w:bCs/>
                    </w:rPr>
                  </w:pPr>
                  <w:r w:rsidRPr="00CB35F3">
                    <w:rPr>
                      <w:b/>
                      <w:bCs/>
                    </w:rPr>
                    <w:t>13,36%</w:t>
                  </w:r>
                </w:p>
              </w:tc>
            </w:tr>
            <w:tr w:rsidR="00586067" w:rsidRPr="00CB35F3" w14:paraId="019E4E9D" w14:textId="77777777" w:rsidTr="00667B32">
              <w:trPr>
                <w:trHeight w:val="315"/>
              </w:trPr>
              <w:tc>
                <w:tcPr>
                  <w:tcW w:w="748" w:type="dxa"/>
                  <w:tcMar>
                    <w:top w:w="0" w:type="dxa"/>
                    <w:left w:w="70" w:type="dxa"/>
                    <w:bottom w:w="0" w:type="dxa"/>
                    <w:right w:w="70" w:type="dxa"/>
                  </w:tcMar>
                  <w:vAlign w:val="center"/>
                  <w:hideMark/>
                </w:tcPr>
                <w:p w14:paraId="5061C047" w14:textId="77777777" w:rsidR="00586067" w:rsidRPr="00CB35F3" w:rsidRDefault="00586067" w:rsidP="00B23B4A">
                  <w:pPr>
                    <w:framePr w:hSpace="141" w:wrap="around" w:vAnchor="text" w:hAnchor="text" w:xAlign="center" w:y="1"/>
                    <w:suppressOverlap/>
                    <w:rPr>
                      <w:b/>
                      <w:bCs/>
                    </w:rPr>
                  </w:pPr>
                  <w:r w:rsidRPr="00CB35F3">
                    <w:rPr>
                      <w:b/>
                      <w:bCs/>
                    </w:rPr>
                    <w:t>9</w:t>
                  </w:r>
                </w:p>
              </w:tc>
              <w:tc>
                <w:tcPr>
                  <w:tcW w:w="930" w:type="dxa"/>
                  <w:tcMar>
                    <w:top w:w="0" w:type="dxa"/>
                    <w:left w:w="70" w:type="dxa"/>
                    <w:bottom w:w="0" w:type="dxa"/>
                    <w:right w:w="70" w:type="dxa"/>
                  </w:tcMar>
                  <w:vAlign w:val="center"/>
                  <w:hideMark/>
                </w:tcPr>
                <w:p w14:paraId="511A5383" w14:textId="77777777" w:rsidR="00586067" w:rsidRPr="00CB35F3" w:rsidRDefault="00586067" w:rsidP="00B23B4A">
                  <w:pPr>
                    <w:framePr w:hSpace="141" w:wrap="around" w:vAnchor="text" w:hAnchor="text" w:xAlign="center" w:y="1"/>
                    <w:suppressOverlap/>
                    <w:rPr>
                      <w:b/>
                      <w:bCs/>
                    </w:rPr>
                  </w:pPr>
                  <w:r w:rsidRPr="00CB35F3">
                    <w:rPr>
                      <w:b/>
                      <w:bCs/>
                    </w:rPr>
                    <w:t>225</w:t>
                  </w:r>
                </w:p>
              </w:tc>
              <w:tc>
                <w:tcPr>
                  <w:tcW w:w="1035" w:type="dxa"/>
                  <w:tcMar>
                    <w:top w:w="0" w:type="dxa"/>
                    <w:left w:w="70" w:type="dxa"/>
                    <w:bottom w:w="0" w:type="dxa"/>
                    <w:right w:w="70" w:type="dxa"/>
                  </w:tcMar>
                  <w:vAlign w:val="center"/>
                  <w:hideMark/>
                </w:tcPr>
                <w:p w14:paraId="7A029BC2" w14:textId="77777777" w:rsidR="00586067" w:rsidRPr="00CB35F3" w:rsidRDefault="00586067" w:rsidP="00B23B4A">
                  <w:pPr>
                    <w:framePr w:hSpace="141" w:wrap="around" w:vAnchor="text" w:hAnchor="text" w:xAlign="center" w:y="1"/>
                    <w:suppressOverlap/>
                    <w:rPr>
                      <w:b/>
                      <w:bCs/>
                    </w:rPr>
                  </w:pPr>
                  <w:r w:rsidRPr="00CB35F3">
                    <w:rPr>
                      <w:b/>
                      <w:bCs/>
                    </w:rPr>
                    <w:t>235</w:t>
                  </w:r>
                </w:p>
              </w:tc>
              <w:tc>
                <w:tcPr>
                  <w:tcW w:w="1035" w:type="dxa"/>
                  <w:tcMar>
                    <w:top w:w="0" w:type="dxa"/>
                    <w:left w:w="70" w:type="dxa"/>
                    <w:bottom w:w="0" w:type="dxa"/>
                    <w:right w:w="70" w:type="dxa"/>
                  </w:tcMar>
                  <w:vAlign w:val="center"/>
                  <w:hideMark/>
                </w:tcPr>
                <w:p w14:paraId="511E5324" w14:textId="77777777" w:rsidR="00586067" w:rsidRPr="00CB35F3" w:rsidRDefault="00586067" w:rsidP="00B23B4A">
                  <w:pPr>
                    <w:framePr w:hSpace="141" w:wrap="around" w:vAnchor="text" w:hAnchor="text" w:xAlign="center" w:y="1"/>
                    <w:suppressOverlap/>
                    <w:rPr>
                      <w:b/>
                      <w:bCs/>
                    </w:rPr>
                  </w:pPr>
                  <w:r w:rsidRPr="00CB35F3">
                    <w:rPr>
                      <w:b/>
                      <w:bCs/>
                    </w:rPr>
                    <w:t>460</w:t>
                  </w:r>
                </w:p>
              </w:tc>
              <w:tc>
                <w:tcPr>
                  <w:tcW w:w="930" w:type="dxa"/>
                  <w:tcMar>
                    <w:top w:w="0" w:type="dxa"/>
                    <w:left w:w="70" w:type="dxa"/>
                    <w:bottom w:w="0" w:type="dxa"/>
                    <w:right w:w="70" w:type="dxa"/>
                  </w:tcMar>
                  <w:vAlign w:val="center"/>
                  <w:hideMark/>
                </w:tcPr>
                <w:p w14:paraId="13687B0D" w14:textId="77777777" w:rsidR="00586067" w:rsidRPr="00CB35F3" w:rsidRDefault="00586067" w:rsidP="00B23B4A">
                  <w:pPr>
                    <w:framePr w:hSpace="141" w:wrap="around" w:vAnchor="text" w:hAnchor="text" w:xAlign="center" w:y="1"/>
                    <w:suppressOverlap/>
                    <w:rPr>
                      <w:b/>
                      <w:bCs/>
                    </w:rPr>
                  </w:pPr>
                  <w:r w:rsidRPr="00CB35F3">
                    <w:rPr>
                      <w:b/>
                      <w:bCs/>
                    </w:rPr>
                    <w:t>32</w:t>
                  </w:r>
                </w:p>
              </w:tc>
              <w:tc>
                <w:tcPr>
                  <w:tcW w:w="1035" w:type="dxa"/>
                  <w:tcMar>
                    <w:top w:w="0" w:type="dxa"/>
                    <w:left w:w="70" w:type="dxa"/>
                    <w:bottom w:w="0" w:type="dxa"/>
                    <w:right w:w="70" w:type="dxa"/>
                  </w:tcMar>
                  <w:vAlign w:val="center"/>
                  <w:hideMark/>
                </w:tcPr>
                <w:p w14:paraId="2A455593" w14:textId="77777777" w:rsidR="00586067" w:rsidRPr="00CB35F3" w:rsidRDefault="00586067" w:rsidP="00B23B4A">
                  <w:pPr>
                    <w:framePr w:hSpace="141" w:wrap="around" w:vAnchor="text" w:hAnchor="text" w:xAlign="center" w:y="1"/>
                    <w:suppressOverlap/>
                    <w:rPr>
                      <w:b/>
                      <w:bCs/>
                    </w:rPr>
                  </w:pPr>
                  <w:r w:rsidRPr="00CB35F3">
                    <w:rPr>
                      <w:b/>
                      <w:bCs/>
                    </w:rPr>
                    <w:t>33</w:t>
                  </w:r>
                </w:p>
              </w:tc>
              <w:tc>
                <w:tcPr>
                  <w:tcW w:w="1035" w:type="dxa"/>
                  <w:tcMar>
                    <w:top w:w="0" w:type="dxa"/>
                    <w:left w:w="70" w:type="dxa"/>
                    <w:bottom w:w="0" w:type="dxa"/>
                    <w:right w:w="70" w:type="dxa"/>
                  </w:tcMar>
                  <w:vAlign w:val="center"/>
                  <w:hideMark/>
                </w:tcPr>
                <w:p w14:paraId="40F0B68E" w14:textId="77777777" w:rsidR="00586067" w:rsidRPr="00CB35F3" w:rsidRDefault="00586067" w:rsidP="00B23B4A">
                  <w:pPr>
                    <w:framePr w:hSpace="141" w:wrap="around" w:vAnchor="text" w:hAnchor="text" w:xAlign="center" w:y="1"/>
                    <w:suppressOverlap/>
                    <w:rPr>
                      <w:b/>
                      <w:bCs/>
                    </w:rPr>
                  </w:pPr>
                  <w:r w:rsidRPr="00CB35F3">
                    <w:rPr>
                      <w:b/>
                      <w:bCs/>
                    </w:rPr>
                    <w:t>65</w:t>
                  </w:r>
                </w:p>
              </w:tc>
              <w:tc>
                <w:tcPr>
                  <w:tcW w:w="948" w:type="dxa"/>
                  <w:tcMar>
                    <w:top w:w="0" w:type="dxa"/>
                    <w:left w:w="70" w:type="dxa"/>
                    <w:bottom w:w="0" w:type="dxa"/>
                    <w:right w:w="70" w:type="dxa"/>
                  </w:tcMar>
                  <w:vAlign w:val="center"/>
                  <w:hideMark/>
                </w:tcPr>
                <w:p w14:paraId="6D982A5E" w14:textId="77777777" w:rsidR="00586067" w:rsidRPr="00CB35F3" w:rsidRDefault="00586067" w:rsidP="00B23B4A">
                  <w:pPr>
                    <w:framePr w:hSpace="141" w:wrap="around" w:vAnchor="text" w:hAnchor="text" w:xAlign="center" w:y="1"/>
                    <w:suppressOverlap/>
                    <w:rPr>
                      <w:b/>
                      <w:bCs/>
                    </w:rPr>
                  </w:pPr>
                  <w:r w:rsidRPr="00CB35F3">
                    <w:rPr>
                      <w:b/>
                      <w:bCs/>
                    </w:rPr>
                    <w:t>14,13%</w:t>
                  </w:r>
                </w:p>
              </w:tc>
            </w:tr>
            <w:tr w:rsidR="00586067" w:rsidRPr="00CB35F3" w14:paraId="3781CEF0" w14:textId="77777777" w:rsidTr="00667B32">
              <w:trPr>
                <w:trHeight w:val="315"/>
              </w:trPr>
              <w:tc>
                <w:tcPr>
                  <w:tcW w:w="748" w:type="dxa"/>
                  <w:tcMar>
                    <w:top w:w="0" w:type="dxa"/>
                    <w:left w:w="70" w:type="dxa"/>
                    <w:bottom w:w="0" w:type="dxa"/>
                    <w:right w:w="70" w:type="dxa"/>
                  </w:tcMar>
                  <w:vAlign w:val="center"/>
                  <w:hideMark/>
                </w:tcPr>
                <w:p w14:paraId="313A9741" w14:textId="77777777" w:rsidR="00586067" w:rsidRPr="00CB35F3" w:rsidRDefault="00586067" w:rsidP="00B23B4A">
                  <w:pPr>
                    <w:framePr w:hSpace="141" w:wrap="around" w:vAnchor="text" w:hAnchor="text" w:xAlign="center" w:y="1"/>
                    <w:suppressOverlap/>
                    <w:rPr>
                      <w:b/>
                      <w:bCs/>
                    </w:rPr>
                  </w:pPr>
                  <w:r w:rsidRPr="00CB35F3">
                    <w:rPr>
                      <w:b/>
                      <w:bCs/>
                    </w:rPr>
                    <w:t>10</w:t>
                  </w:r>
                </w:p>
              </w:tc>
              <w:tc>
                <w:tcPr>
                  <w:tcW w:w="930" w:type="dxa"/>
                  <w:tcMar>
                    <w:top w:w="0" w:type="dxa"/>
                    <w:left w:w="70" w:type="dxa"/>
                    <w:bottom w:w="0" w:type="dxa"/>
                    <w:right w:w="70" w:type="dxa"/>
                  </w:tcMar>
                  <w:vAlign w:val="center"/>
                  <w:hideMark/>
                </w:tcPr>
                <w:p w14:paraId="2FC977A0" w14:textId="77777777" w:rsidR="00586067" w:rsidRPr="00CB35F3" w:rsidRDefault="00586067" w:rsidP="00B23B4A">
                  <w:pPr>
                    <w:framePr w:hSpace="141" w:wrap="around" w:vAnchor="text" w:hAnchor="text" w:xAlign="center" w:y="1"/>
                    <w:suppressOverlap/>
                    <w:rPr>
                      <w:b/>
                      <w:bCs/>
                    </w:rPr>
                  </w:pPr>
                  <w:r w:rsidRPr="00CB35F3">
                    <w:rPr>
                      <w:b/>
                      <w:bCs/>
                    </w:rPr>
                    <w:t>270</w:t>
                  </w:r>
                </w:p>
              </w:tc>
              <w:tc>
                <w:tcPr>
                  <w:tcW w:w="1035" w:type="dxa"/>
                  <w:tcMar>
                    <w:top w:w="0" w:type="dxa"/>
                    <w:left w:w="70" w:type="dxa"/>
                    <w:bottom w:w="0" w:type="dxa"/>
                    <w:right w:w="70" w:type="dxa"/>
                  </w:tcMar>
                  <w:vAlign w:val="center"/>
                  <w:hideMark/>
                </w:tcPr>
                <w:p w14:paraId="5EFF0064" w14:textId="77777777" w:rsidR="00586067" w:rsidRPr="00CB35F3" w:rsidRDefault="00586067" w:rsidP="00B23B4A">
                  <w:pPr>
                    <w:framePr w:hSpace="141" w:wrap="around" w:vAnchor="text" w:hAnchor="text" w:xAlign="center" w:y="1"/>
                    <w:suppressOverlap/>
                    <w:rPr>
                      <w:b/>
                      <w:bCs/>
                    </w:rPr>
                  </w:pPr>
                  <w:r w:rsidRPr="00CB35F3">
                    <w:rPr>
                      <w:b/>
                      <w:bCs/>
                    </w:rPr>
                    <w:t>236</w:t>
                  </w:r>
                </w:p>
              </w:tc>
              <w:tc>
                <w:tcPr>
                  <w:tcW w:w="1035" w:type="dxa"/>
                  <w:tcMar>
                    <w:top w:w="0" w:type="dxa"/>
                    <w:left w:w="70" w:type="dxa"/>
                    <w:bottom w:w="0" w:type="dxa"/>
                    <w:right w:w="70" w:type="dxa"/>
                  </w:tcMar>
                  <w:vAlign w:val="center"/>
                  <w:hideMark/>
                </w:tcPr>
                <w:p w14:paraId="77BED48E" w14:textId="77777777" w:rsidR="00586067" w:rsidRPr="00CB35F3" w:rsidRDefault="00586067" w:rsidP="00B23B4A">
                  <w:pPr>
                    <w:framePr w:hSpace="141" w:wrap="around" w:vAnchor="text" w:hAnchor="text" w:xAlign="center" w:y="1"/>
                    <w:suppressOverlap/>
                    <w:rPr>
                      <w:b/>
                      <w:bCs/>
                    </w:rPr>
                  </w:pPr>
                  <w:r w:rsidRPr="00CB35F3">
                    <w:rPr>
                      <w:b/>
                      <w:bCs/>
                    </w:rPr>
                    <w:t>506</w:t>
                  </w:r>
                </w:p>
              </w:tc>
              <w:tc>
                <w:tcPr>
                  <w:tcW w:w="930" w:type="dxa"/>
                  <w:tcMar>
                    <w:top w:w="0" w:type="dxa"/>
                    <w:left w:w="70" w:type="dxa"/>
                    <w:bottom w:w="0" w:type="dxa"/>
                    <w:right w:w="70" w:type="dxa"/>
                  </w:tcMar>
                  <w:vAlign w:val="center"/>
                  <w:hideMark/>
                </w:tcPr>
                <w:p w14:paraId="6EED3409" w14:textId="77777777" w:rsidR="00586067" w:rsidRPr="00CB35F3" w:rsidRDefault="00586067" w:rsidP="00B23B4A">
                  <w:pPr>
                    <w:framePr w:hSpace="141" w:wrap="around" w:vAnchor="text" w:hAnchor="text" w:xAlign="center" w:y="1"/>
                    <w:suppressOverlap/>
                    <w:rPr>
                      <w:b/>
                      <w:bCs/>
                    </w:rPr>
                  </w:pPr>
                  <w:r w:rsidRPr="00CB35F3">
                    <w:rPr>
                      <w:b/>
                      <w:bCs/>
                    </w:rPr>
                    <w:t>38</w:t>
                  </w:r>
                </w:p>
              </w:tc>
              <w:tc>
                <w:tcPr>
                  <w:tcW w:w="1035" w:type="dxa"/>
                  <w:tcMar>
                    <w:top w:w="0" w:type="dxa"/>
                    <w:left w:w="70" w:type="dxa"/>
                    <w:bottom w:w="0" w:type="dxa"/>
                    <w:right w:w="70" w:type="dxa"/>
                  </w:tcMar>
                  <w:vAlign w:val="center"/>
                  <w:hideMark/>
                </w:tcPr>
                <w:p w14:paraId="1CF21F34" w14:textId="77777777" w:rsidR="00586067" w:rsidRPr="00CB35F3" w:rsidRDefault="00586067" w:rsidP="00B23B4A">
                  <w:pPr>
                    <w:framePr w:hSpace="141" w:wrap="around" w:vAnchor="text" w:hAnchor="text" w:xAlign="center" w:y="1"/>
                    <w:suppressOverlap/>
                    <w:rPr>
                      <w:b/>
                      <w:bCs/>
                    </w:rPr>
                  </w:pPr>
                  <w:r w:rsidRPr="00CB35F3">
                    <w:rPr>
                      <w:b/>
                      <w:bCs/>
                    </w:rPr>
                    <w:t>27</w:t>
                  </w:r>
                </w:p>
              </w:tc>
              <w:tc>
                <w:tcPr>
                  <w:tcW w:w="1035" w:type="dxa"/>
                  <w:tcMar>
                    <w:top w:w="0" w:type="dxa"/>
                    <w:left w:w="70" w:type="dxa"/>
                    <w:bottom w:w="0" w:type="dxa"/>
                    <w:right w:w="70" w:type="dxa"/>
                  </w:tcMar>
                  <w:vAlign w:val="center"/>
                  <w:hideMark/>
                </w:tcPr>
                <w:p w14:paraId="0FA3D0F4" w14:textId="77777777" w:rsidR="00586067" w:rsidRPr="00CB35F3" w:rsidRDefault="00586067" w:rsidP="00B23B4A">
                  <w:pPr>
                    <w:framePr w:hSpace="141" w:wrap="around" w:vAnchor="text" w:hAnchor="text" w:xAlign="center" w:y="1"/>
                    <w:suppressOverlap/>
                    <w:rPr>
                      <w:b/>
                      <w:bCs/>
                    </w:rPr>
                  </w:pPr>
                  <w:r w:rsidRPr="00CB35F3">
                    <w:rPr>
                      <w:b/>
                      <w:bCs/>
                    </w:rPr>
                    <w:t>65</w:t>
                  </w:r>
                </w:p>
              </w:tc>
              <w:tc>
                <w:tcPr>
                  <w:tcW w:w="948" w:type="dxa"/>
                  <w:tcMar>
                    <w:top w:w="0" w:type="dxa"/>
                    <w:left w:w="70" w:type="dxa"/>
                    <w:bottom w:w="0" w:type="dxa"/>
                    <w:right w:w="70" w:type="dxa"/>
                  </w:tcMar>
                  <w:vAlign w:val="center"/>
                  <w:hideMark/>
                </w:tcPr>
                <w:p w14:paraId="1A93E9EC" w14:textId="77777777" w:rsidR="00586067" w:rsidRPr="00CB35F3" w:rsidRDefault="00586067" w:rsidP="00B23B4A">
                  <w:pPr>
                    <w:framePr w:hSpace="141" w:wrap="around" w:vAnchor="text" w:hAnchor="text" w:xAlign="center" w:y="1"/>
                    <w:suppressOverlap/>
                    <w:rPr>
                      <w:b/>
                      <w:bCs/>
                    </w:rPr>
                  </w:pPr>
                  <w:r w:rsidRPr="00CB35F3">
                    <w:rPr>
                      <w:b/>
                      <w:bCs/>
                    </w:rPr>
                    <w:t>12,85%</w:t>
                  </w:r>
                </w:p>
              </w:tc>
            </w:tr>
            <w:tr w:rsidR="00586067" w:rsidRPr="00CB35F3" w14:paraId="08CBF202" w14:textId="77777777" w:rsidTr="00667B32">
              <w:trPr>
                <w:trHeight w:val="315"/>
              </w:trPr>
              <w:tc>
                <w:tcPr>
                  <w:tcW w:w="748" w:type="dxa"/>
                  <w:tcMar>
                    <w:top w:w="0" w:type="dxa"/>
                    <w:left w:w="70" w:type="dxa"/>
                    <w:bottom w:w="0" w:type="dxa"/>
                    <w:right w:w="70" w:type="dxa"/>
                  </w:tcMar>
                  <w:vAlign w:val="center"/>
                  <w:hideMark/>
                </w:tcPr>
                <w:p w14:paraId="09EC9C9D" w14:textId="77777777" w:rsidR="00586067" w:rsidRPr="00CB35F3" w:rsidRDefault="00586067" w:rsidP="00B23B4A">
                  <w:pPr>
                    <w:framePr w:hSpace="141" w:wrap="around" w:vAnchor="text" w:hAnchor="text" w:xAlign="center" w:y="1"/>
                    <w:suppressOverlap/>
                    <w:rPr>
                      <w:b/>
                      <w:bCs/>
                    </w:rPr>
                  </w:pPr>
                  <w:r w:rsidRPr="00CB35F3">
                    <w:rPr>
                      <w:b/>
                      <w:bCs/>
                    </w:rPr>
                    <w:t>11</w:t>
                  </w:r>
                </w:p>
              </w:tc>
              <w:tc>
                <w:tcPr>
                  <w:tcW w:w="930" w:type="dxa"/>
                  <w:tcMar>
                    <w:top w:w="0" w:type="dxa"/>
                    <w:left w:w="70" w:type="dxa"/>
                    <w:bottom w:w="0" w:type="dxa"/>
                    <w:right w:w="70" w:type="dxa"/>
                  </w:tcMar>
                  <w:vAlign w:val="center"/>
                  <w:hideMark/>
                </w:tcPr>
                <w:p w14:paraId="5540FB31" w14:textId="77777777" w:rsidR="00586067" w:rsidRPr="00CB35F3" w:rsidRDefault="00586067" w:rsidP="00B23B4A">
                  <w:pPr>
                    <w:framePr w:hSpace="141" w:wrap="around" w:vAnchor="text" w:hAnchor="text" w:xAlign="center" w:y="1"/>
                    <w:suppressOverlap/>
                    <w:rPr>
                      <w:b/>
                      <w:bCs/>
                    </w:rPr>
                  </w:pPr>
                  <w:r w:rsidRPr="00CB35F3">
                    <w:rPr>
                      <w:b/>
                      <w:bCs/>
                    </w:rPr>
                    <w:t>239</w:t>
                  </w:r>
                </w:p>
              </w:tc>
              <w:tc>
                <w:tcPr>
                  <w:tcW w:w="1035" w:type="dxa"/>
                  <w:tcMar>
                    <w:top w:w="0" w:type="dxa"/>
                    <w:left w:w="70" w:type="dxa"/>
                    <w:bottom w:w="0" w:type="dxa"/>
                    <w:right w:w="70" w:type="dxa"/>
                  </w:tcMar>
                  <w:vAlign w:val="center"/>
                  <w:hideMark/>
                </w:tcPr>
                <w:p w14:paraId="38F15D92" w14:textId="77777777" w:rsidR="00586067" w:rsidRPr="00CB35F3" w:rsidRDefault="00586067" w:rsidP="00B23B4A">
                  <w:pPr>
                    <w:framePr w:hSpace="141" w:wrap="around" w:vAnchor="text" w:hAnchor="text" w:xAlign="center" w:y="1"/>
                    <w:suppressOverlap/>
                    <w:rPr>
                      <w:b/>
                      <w:bCs/>
                    </w:rPr>
                  </w:pPr>
                  <w:r w:rsidRPr="00CB35F3">
                    <w:rPr>
                      <w:b/>
                      <w:bCs/>
                    </w:rPr>
                    <w:t>210</w:t>
                  </w:r>
                </w:p>
              </w:tc>
              <w:tc>
                <w:tcPr>
                  <w:tcW w:w="1035" w:type="dxa"/>
                  <w:tcMar>
                    <w:top w:w="0" w:type="dxa"/>
                    <w:left w:w="70" w:type="dxa"/>
                    <w:bottom w:w="0" w:type="dxa"/>
                    <w:right w:w="70" w:type="dxa"/>
                  </w:tcMar>
                  <w:vAlign w:val="center"/>
                  <w:hideMark/>
                </w:tcPr>
                <w:p w14:paraId="1E9F6A8E" w14:textId="77777777" w:rsidR="00586067" w:rsidRPr="00CB35F3" w:rsidRDefault="00586067" w:rsidP="00B23B4A">
                  <w:pPr>
                    <w:framePr w:hSpace="141" w:wrap="around" w:vAnchor="text" w:hAnchor="text" w:xAlign="center" w:y="1"/>
                    <w:suppressOverlap/>
                    <w:rPr>
                      <w:b/>
                      <w:bCs/>
                    </w:rPr>
                  </w:pPr>
                  <w:r w:rsidRPr="00CB35F3">
                    <w:rPr>
                      <w:b/>
                      <w:bCs/>
                    </w:rPr>
                    <w:t>449</w:t>
                  </w:r>
                </w:p>
              </w:tc>
              <w:tc>
                <w:tcPr>
                  <w:tcW w:w="930" w:type="dxa"/>
                  <w:tcMar>
                    <w:top w:w="0" w:type="dxa"/>
                    <w:left w:w="70" w:type="dxa"/>
                    <w:bottom w:w="0" w:type="dxa"/>
                    <w:right w:w="70" w:type="dxa"/>
                  </w:tcMar>
                  <w:vAlign w:val="center"/>
                  <w:hideMark/>
                </w:tcPr>
                <w:p w14:paraId="64C78C1F" w14:textId="77777777" w:rsidR="00586067" w:rsidRPr="00CB35F3" w:rsidRDefault="00586067" w:rsidP="00B23B4A">
                  <w:pPr>
                    <w:framePr w:hSpace="141" w:wrap="around" w:vAnchor="text" w:hAnchor="text" w:xAlign="center" w:y="1"/>
                    <w:suppressOverlap/>
                    <w:rPr>
                      <w:b/>
                      <w:bCs/>
                    </w:rPr>
                  </w:pPr>
                  <w:r w:rsidRPr="00CB35F3">
                    <w:rPr>
                      <w:b/>
                      <w:bCs/>
                    </w:rPr>
                    <w:t>26</w:t>
                  </w:r>
                </w:p>
              </w:tc>
              <w:tc>
                <w:tcPr>
                  <w:tcW w:w="1035" w:type="dxa"/>
                  <w:tcMar>
                    <w:top w:w="0" w:type="dxa"/>
                    <w:left w:w="70" w:type="dxa"/>
                    <w:bottom w:w="0" w:type="dxa"/>
                    <w:right w:w="70" w:type="dxa"/>
                  </w:tcMar>
                  <w:vAlign w:val="center"/>
                  <w:hideMark/>
                </w:tcPr>
                <w:p w14:paraId="5657667D" w14:textId="77777777" w:rsidR="00586067" w:rsidRPr="00CB35F3" w:rsidRDefault="00586067" w:rsidP="00B23B4A">
                  <w:pPr>
                    <w:framePr w:hSpace="141" w:wrap="around" w:vAnchor="text" w:hAnchor="text" w:xAlign="center" w:y="1"/>
                    <w:suppressOverlap/>
                    <w:rPr>
                      <w:b/>
                      <w:bCs/>
                    </w:rPr>
                  </w:pPr>
                  <w:r w:rsidRPr="00CB35F3">
                    <w:rPr>
                      <w:b/>
                      <w:bCs/>
                    </w:rPr>
                    <w:t>30</w:t>
                  </w:r>
                </w:p>
              </w:tc>
              <w:tc>
                <w:tcPr>
                  <w:tcW w:w="1035" w:type="dxa"/>
                  <w:tcMar>
                    <w:top w:w="0" w:type="dxa"/>
                    <w:left w:w="70" w:type="dxa"/>
                    <w:bottom w:w="0" w:type="dxa"/>
                    <w:right w:w="70" w:type="dxa"/>
                  </w:tcMar>
                  <w:vAlign w:val="center"/>
                  <w:hideMark/>
                </w:tcPr>
                <w:p w14:paraId="7203B275" w14:textId="77777777" w:rsidR="00586067" w:rsidRPr="00CB35F3" w:rsidRDefault="00586067" w:rsidP="00B23B4A">
                  <w:pPr>
                    <w:framePr w:hSpace="141" w:wrap="around" w:vAnchor="text" w:hAnchor="text" w:xAlign="center" w:y="1"/>
                    <w:suppressOverlap/>
                    <w:rPr>
                      <w:b/>
                      <w:bCs/>
                    </w:rPr>
                  </w:pPr>
                  <w:r w:rsidRPr="00CB35F3">
                    <w:rPr>
                      <w:b/>
                      <w:bCs/>
                    </w:rPr>
                    <w:t>56</w:t>
                  </w:r>
                </w:p>
              </w:tc>
              <w:tc>
                <w:tcPr>
                  <w:tcW w:w="948" w:type="dxa"/>
                  <w:tcMar>
                    <w:top w:w="0" w:type="dxa"/>
                    <w:left w:w="70" w:type="dxa"/>
                    <w:bottom w:w="0" w:type="dxa"/>
                    <w:right w:w="70" w:type="dxa"/>
                  </w:tcMar>
                  <w:vAlign w:val="center"/>
                  <w:hideMark/>
                </w:tcPr>
                <w:p w14:paraId="12E225AC" w14:textId="77777777" w:rsidR="00586067" w:rsidRPr="00CB35F3" w:rsidRDefault="00586067" w:rsidP="00B23B4A">
                  <w:pPr>
                    <w:framePr w:hSpace="141" w:wrap="around" w:vAnchor="text" w:hAnchor="text" w:xAlign="center" w:y="1"/>
                    <w:suppressOverlap/>
                    <w:rPr>
                      <w:b/>
                      <w:bCs/>
                    </w:rPr>
                  </w:pPr>
                  <w:r w:rsidRPr="00CB35F3">
                    <w:rPr>
                      <w:b/>
                      <w:bCs/>
                    </w:rPr>
                    <w:t>12,47%</w:t>
                  </w:r>
                </w:p>
              </w:tc>
            </w:tr>
            <w:tr w:rsidR="00586067" w:rsidRPr="00CB35F3" w14:paraId="50B258AA" w14:textId="77777777" w:rsidTr="00667B32">
              <w:trPr>
                <w:trHeight w:val="315"/>
              </w:trPr>
              <w:tc>
                <w:tcPr>
                  <w:tcW w:w="748" w:type="dxa"/>
                  <w:tcMar>
                    <w:top w:w="0" w:type="dxa"/>
                    <w:left w:w="70" w:type="dxa"/>
                    <w:bottom w:w="0" w:type="dxa"/>
                    <w:right w:w="70" w:type="dxa"/>
                  </w:tcMar>
                  <w:vAlign w:val="center"/>
                  <w:hideMark/>
                </w:tcPr>
                <w:p w14:paraId="130FE4E3" w14:textId="77777777" w:rsidR="00586067" w:rsidRPr="00CB35F3" w:rsidRDefault="00586067" w:rsidP="00B23B4A">
                  <w:pPr>
                    <w:framePr w:hSpace="141" w:wrap="around" w:vAnchor="text" w:hAnchor="text" w:xAlign="center" w:y="1"/>
                    <w:suppressOverlap/>
                    <w:rPr>
                      <w:b/>
                      <w:bCs/>
                    </w:rPr>
                  </w:pPr>
                  <w:r w:rsidRPr="00CB35F3">
                    <w:rPr>
                      <w:b/>
                      <w:bCs/>
                    </w:rPr>
                    <w:t>12</w:t>
                  </w:r>
                </w:p>
              </w:tc>
              <w:tc>
                <w:tcPr>
                  <w:tcW w:w="930" w:type="dxa"/>
                  <w:tcMar>
                    <w:top w:w="0" w:type="dxa"/>
                    <w:left w:w="70" w:type="dxa"/>
                    <w:bottom w:w="0" w:type="dxa"/>
                    <w:right w:w="70" w:type="dxa"/>
                  </w:tcMar>
                  <w:vAlign w:val="center"/>
                  <w:hideMark/>
                </w:tcPr>
                <w:p w14:paraId="63CC87BE" w14:textId="77777777" w:rsidR="00586067" w:rsidRPr="00CB35F3" w:rsidRDefault="00586067" w:rsidP="00B23B4A">
                  <w:pPr>
                    <w:framePr w:hSpace="141" w:wrap="around" w:vAnchor="text" w:hAnchor="text" w:xAlign="center" w:y="1"/>
                    <w:suppressOverlap/>
                    <w:rPr>
                      <w:b/>
                      <w:bCs/>
                    </w:rPr>
                  </w:pPr>
                  <w:r w:rsidRPr="00CB35F3">
                    <w:rPr>
                      <w:b/>
                      <w:bCs/>
                    </w:rPr>
                    <w:t>226</w:t>
                  </w:r>
                </w:p>
              </w:tc>
              <w:tc>
                <w:tcPr>
                  <w:tcW w:w="1035" w:type="dxa"/>
                  <w:tcMar>
                    <w:top w:w="0" w:type="dxa"/>
                    <w:left w:w="70" w:type="dxa"/>
                    <w:bottom w:w="0" w:type="dxa"/>
                    <w:right w:w="70" w:type="dxa"/>
                  </w:tcMar>
                  <w:vAlign w:val="center"/>
                  <w:hideMark/>
                </w:tcPr>
                <w:p w14:paraId="38807577" w14:textId="77777777" w:rsidR="00586067" w:rsidRPr="00CB35F3" w:rsidRDefault="00586067" w:rsidP="00B23B4A">
                  <w:pPr>
                    <w:framePr w:hSpace="141" w:wrap="around" w:vAnchor="text" w:hAnchor="text" w:xAlign="center" w:y="1"/>
                    <w:suppressOverlap/>
                    <w:rPr>
                      <w:b/>
                      <w:bCs/>
                    </w:rPr>
                  </w:pPr>
                  <w:r w:rsidRPr="00CB35F3">
                    <w:rPr>
                      <w:b/>
                      <w:bCs/>
                    </w:rPr>
                    <w:t>217</w:t>
                  </w:r>
                </w:p>
              </w:tc>
              <w:tc>
                <w:tcPr>
                  <w:tcW w:w="1035" w:type="dxa"/>
                  <w:tcMar>
                    <w:top w:w="0" w:type="dxa"/>
                    <w:left w:w="70" w:type="dxa"/>
                    <w:bottom w:w="0" w:type="dxa"/>
                    <w:right w:w="70" w:type="dxa"/>
                  </w:tcMar>
                  <w:vAlign w:val="center"/>
                  <w:hideMark/>
                </w:tcPr>
                <w:p w14:paraId="33273038" w14:textId="77777777" w:rsidR="00586067" w:rsidRPr="00CB35F3" w:rsidRDefault="00586067" w:rsidP="00B23B4A">
                  <w:pPr>
                    <w:framePr w:hSpace="141" w:wrap="around" w:vAnchor="text" w:hAnchor="text" w:xAlign="center" w:y="1"/>
                    <w:suppressOverlap/>
                    <w:rPr>
                      <w:b/>
                      <w:bCs/>
                    </w:rPr>
                  </w:pPr>
                  <w:r w:rsidRPr="00CB35F3">
                    <w:rPr>
                      <w:b/>
                      <w:bCs/>
                    </w:rPr>
                    <w:t>443</w:t>
                  </w:r>
                </w:p>
              </w:tc>
              <w:tc>
                <w:tcPr>
                  <w:tcW w:w="930" w:type="dxa"/>
                  <w:tcMar>
                    <w:top w:w="0" w:type="dxa"/>
                    <w:left w:w="70" w:type="dxa"/>
                    <w:bottom w:w="0" w:type="dxa"/>
                    <w:right w:w="70" w:type="dxa"/>
                  </w:tcMar>
                  <w:vAlign w:val="center"/>
                  <w:hideMark/>
                </w:tcPr>
                <w:p w14:paraId="0171B3F5" w14:textId="77777777" w:rsidR="00586067" w:rsidRPr="00CB35F3" w:rsidRDefault="00586067" w:rsidP="00B23B4A">
                  <w:pPr>
                    <w:framePr w:hSpace="141" w:wrap="around" w:vAnchor="text" w:hAnchor="text" w:xAlign="center" w:y="1"/>
                    <w:suppressOverlap/>
                    <w:rPr>
                      <w:b/>
                      <w:bCs/>
                    </w:rPr>
                  </w:pPr>
                  <w:r w:rsidRPr="00CB35F3">
                    <w:rPr>
                      <w:b/>
                      <w:bCs/>
                    </w:rPr>
                    <w:t>33</w:t>
                  </w:r>
                </w:p>
              </w:tc>
              <w:tc>
                <w:tcPr>
                  <w:tcW w:w="1035" w:type="dxa"/>
                  <w:tcMar>
                    <w:top w:w="0" w:type="dxa"/>
                    <w:left w:w="70" w:type="dxa"/>
                    <w:bottom w:w="0" w:type="dxa"/>
                    <w:right w:w="70" w:type="dxa"/>
                  </w:tcMar>
                  <w:vAlign w:val="center"/>
                  <w:hideMark/>
                </w:tcPr>
                <w:p w14:paraId="021168CB" w14:textId="77777777" w:rsidR="00586067" w:rsidRPr="00CB35F3" w:rsidRDefault="00586067" w:rsidP="00B23B4A">
                  <w:pPr>
                    <w:framePr w:hSpace="141" w:wrap="around" w:vAnchor="text" w:hAnchor="text" w:xAlign="center" w:y="1"/>
                    <w:suppressOverlap/>
                    <w:rPr>
                      <w:b/>
                      <w:bCs/>
                    </w:rPr>
                  </w:pPr>
                  <w:r w:rsidRPr="00CB35F3">
                    <w:rPr>
                      <w:b/>
                      <w:bCs/>
                    </w:rPr>
                    <w:t>18</w:t>
                  </w:r>
                </w:p>
              </w:tc>
              <w:tc>
                <w:tcPr>
                  <w:tcW w:w="1035" w:type="dxa"/>
                  <w:tcMar>
                    <w:top w:w="0" w:type="dxa"/>
                    <w:left w:w="70" w:type="dxa"/>
                    <w:bottom w:w="0" w:type="dxa"/>
                    <w:right w:w="70" w:type="dxa"/>
                  </w:tcMar>
                  <w:vAlign w:val="center"/>
                  <w:hideMark/>
                </w:tcPr>
                <w:p w14:paraId="70EDDC5B" w14:textId="77777777" w:rsidR="00586067" w:rsidRPr="00CB35F3" w:rsidRDefault="00586067" w:rsidP="00B23B4A">
                  <w:pPr>
                    <w:framePr w:hSpace="141" w:wrap="around" w:vAnchor="text" w:hAnchor="text" w:xAlign="center" w:y="1"/>
                    <w:suppressOverlap/>
                    <w:rPr>
                      <w:b/>
                      <w:bCs/>
                    </w:rPr>
                  </w:pPr>
                  <w:r w:rsidRPr="00CB35F3">
                    <w:rPr>
                      <w:b/>
                      <w:bCs/>
                    </w:rPr>
                    <w:t>51</w:t>
                  </w:r>
                </w:p>
              </w:tc>
              <w:tc>
                <w:tcPr>
                  <w:tcW w:w="948" w:type="dxa"/>
                  <w:tcMar>
                    <w:top w:w="0" w:type="dxa"/>
                    <w:left w:w="70" w:type="dxa"/>
                    <w:bottom w:w="0" w:type="dxa"/>
                    <w:right w:w="70" w:type="dxa"/>
                  </w:tcMar>
                  <w:vAlign w:val="center"/>
                  <w:hideMark/>
                </w:tcPr>
                <w:p w14:paraId="702B85A1" w14:textId="77777777" w:rsidR="00586067" w:rsidRPr="00CB35F3" w:rsidRDefault="00586067" w:rsidP="00B23B4A">
                  <w:pPr>
                    <w:framePr w:hSpace="141" w:wrap="around" w:vAnchor="text" w:hAnchor="text" w:xAlign="center" w:y="1"/>
                    <w:suppressOverlap/>
                    <w:rPr>
                      <w:b/>
                      <w:bCs/>
                    </w:rPr>
                  </w:pPr>
                  <w:r w:rsidRPr="00CB35F3">
                    <w:rPr>
                      <w:b/>
                      <w:bCs/>
                    </w:rPr>
                    <w:t>11,51%</w:t>
                  </w:r>
                </w:p>
              </w:tc>
            </w:tr>
            <w:tr w:rsidR="00586067" w:rsidRPr="00CB35F3" w14:paraId="75F5BDD9" w14:textId="77777777" w:rsidTr="00667B32">
              <w:trPr>
                <w:trHeight w:val="315"/>
              </w:trPr>
              <w:tc>
                <w:tcPr>
                  <w:tcW w:w="748" w:type="dxa"/>
                  <w:tcMar>
                    <w:top w:w="0" w:type="dxa"/>
                    <w:left w:w="70" w:type="dxa"/>
                    <w:bottom w:w="0" w:type="dxa"/>
                    <w:right w:w="70" w:type="dxa"/>
                  </w:tcMar>
                  <w:vAlign w:val="center"/>
                  <w:hideMark/>
                </w:tcPr>
                <w:p w14:paraId="6500503E" w14:textId="77777777" w:rsidR="00586067" w:rsidRPr="00CB35F3" w:rsidRDefault="00586067" w:rsidP="00B23B4A">
                  <w:pPr>
                    <w:framePr w:hSpace="141" w:wrap="around" w:vAnchor="text" w:hAnchor="text" w:xAlign="center" w:y="1"/>
                    <w:suppressOverlap/>
                    <w:rPr>
                      <w:b/>
                      <w:bCs/>
                    </w:rPr>
                  </w:pPr>
                  <w:r w:rsidRPr="00CB35F3">
                    <w:rPr>
                      <w:b/>
                      <w:bCs/>
                    </w:rPr>
                    <w:t>13</w:t>
                  </w:r>
                </w:p>
              </w:tc>
              <w:tc>
                <w:tcPr>
                  <w:tcW w:w="930" w:type="dxa"/>
                  <w:tcMar>
                    <w:top w:w="0" w:type="dxa"/>
                    <w:left w:w="70" w:type="dxa"/>
                    <w:bottom w:w="0" w:type="dxa"/>
                    <w:right w:w="70" w:type="dxa"/>
                  </w:tcMar>
                  <w:vAlign w:val="center"/>
                  <w:hideMark/>
                </w:tcPr>
                <w:p w14:paraId="5813363C" w14:textId="77777777" w:rsidR="00586067" w:rsidRPr="00CB35F3" w:rsidRDefault="00586067" w:rsidP="00B23B4A">
                  <w:pPr>
                    <w:framePr w:hSpace="141" w:wrap="around" w:vAnchor="text" w:hAnchor="text" w:xAlign="center" w:y="1"/>
                    <w:suppressOverlap/>
                    <w:rPr>
                      <w:b/>
                      <w:bCs/>
                    </w:rPr>
                  </w:pPr>
                  <w:r w:rsidRPr="00CB35F3">
                    <w:rPr>
                      <w:b/>
                      <w:bCs/>
                    </w:rPr>
                    <w:t>243</w:t>
                  </w:r>
                </w:p>
              </w:tc>
              <w:tc>
                <w:tcPr>
                  <w:tcW w:w="1035" w:type="dxa"/>
                  <w:tcMar>
                    <w:top w:w="0" w:type="dxa"/>
                    <w:left w:w="70" w:type="dxa"/>
                    <w:bottom w:w="0" w:type="dxa"/>
                    <w:right w:w="70" w:type="dxa"/>
                  </w:tcMar>
                  <w:vAlign w:val="center"/>
                  <w:hideMark/>
                </w:tcPr>
                <w:p w14:paraId="74148239" w14:textId="77777777" w:rsidR="00586067" w:rsidRPr="00CB35F3" w:rsidRDefault="00586067" w:rsidP="00B23B4A">
                  <w:pPr>
                    <w:framePr w:hSpace="141" w:wrap="around" w:vAnchor="text" w:hAnchor="text" w:xAlign="center" w:y="1"/>
                    <w:suppressOverlap/>
                    <w:rPr>
                      <w:b/>
                      <w:bCs/>
                    </w:rPr>
                  </w:pPr>
                  <w:r w:rsidRPr="00CB35F3">
                    <w:rPr>
                      <w:b/>
                      <w:bCs/>
                    </w:rPr>
                    <w:t>186</w:t>
                  </w:r>
                </w:p>
              </w:tc>
              <w:tc>
                <w:tcPr>
                  <w:tcW w:w="1035" w:type="dxa"/>
                  <w:tcMar>
                    <w:top w:w="0" w:type="dxa"/>
                    <w:left w:w="70" w:type="dxa"/>
                    <w:bottom w:w="0" w:type="dxa"/>
                    <w:right w:w="70" w:type="dxa"/>
                  </w:tcMar>
                  <w:vAlign w:val="center"/>
                  <w:hideMark/>
                </w:tcPr>
                <w:p w14:paraId="51D4AA29" w14:textId="77777777" w:rsidR="00586067" w:rsidRPr="00CB35F3" w:rsidRDefault="00586067" w:rsidP="00B23B4A">
                  <w:pPr>
                    <w:framePr w:hSpace="141" w:wrap="around" w:vAnchor="text" w:hAnchor="text" w:xAlign="center" w:y="1"/>
                    <w:suppressOverlap/>
                    <w:rPr>
                      <w:b/>
                      <w:bCs/>
                    </w:rPr>
                  </w:pPr>
                  <w:r w:rsidRPr="00CB35F3">
                    <w:rPr>
                      <w:b/>
                      <w:bCs/>
                    </w:rPr>
                    <w:t>429</w:t>
                  </w:r>
                </w:p>
              </w:tc>
              <w:tc>
                <w:tcPr>
                  <w:tcW w:w="930" w:type="dxa"/>
                  <w:tcMar>
                    <w:top w:w="0" w:type="dxa"/>
                    <w:left w:w="70" w:type="dxa"/>
                    <w:bottom w:w="0" w:type="dxa"/>
                    <w:right w:w="70" w:type="dxa"/>
                  </w:tcMar>
                  <w:vAlign w:val="center"/>
                  <w:hideMark/>
                </w:tcPr>
                <w:p w14:paraId="6690BEA2" w14:textId="77777777" w:rsidR="00586067" w:rsidRPr="00CB35F3" w:rsidRDefault="00586067" w:rsidP="00B23B4A">
                  <w:pPr>
                    <w:framePr w:hSpace="141" w:wrap="around" w:vAnchor="text" w:hAnchor="text" w:xAlign="center" w:y="1"/>
                    <w:suppressOverlap/>
                    <w:rPr>
                      <w:b/>
                      <w:bCs/>
                    </w:rPr>
                  </w:pPr>
                  <w:r w:rsidRPr="00CB35F3">
                    <w:rPr>
                      <w:b/>
                      <w:bCs/>
                    </w:rPr>
                    <w:t>25</w:t>
                  </w:r>
                </w:p>
              </w:tc>
              <w:tc>
                <w:tcPr>
                  <w:tcW w:w="1035" w:type="dxa"/>
                  <w:tcMar>
                    <w:top w:w="0" w:type="dxa"/>
                    <w:left w:w="70" w:type="dxa"/>
                    <w:bottom w:w="0" w:type="dxa"/>
                    <w:right w:w="70" w:type="dxa"/>
                  </w:tcMar>
                  <w:vAlign w:val="center"/>
                  <w:hideMark/>
                </w:tcPr>
                <w:p w14:paraId="59EE4197" w14:textId="77777777" w:rsidR="00586067" w:rsidRPr="00CB35F3" w:rsidRDefault="00586067" w:rsidP="00B23B4A">
                  <w:pPr>
                    <w:framePr w:hSpace="141" w:wrap="around" w:vAnchor="text" w:hAnchor="text" w:xAlign="center" w:y="1"/>
                    <w:suppressOverlap/>
                    <w:rPr>
                      <w:b/>
                      <w:bCs/>
                    </w:rPr>
                  </w:pPr>
                  <w:r w:rsidRPr="00CB35F3">
                    <w:rPr>
                      <w:b/>
                      <w:bCs/>
                    </w:rPr>
                    <w:t>24</w:t>
                  </w:r>
                </w:p>
              </w:tc>
              <w:tc>
                <w:tcPr>
                  <w:tcW w:w="1035" w:type="dxa"/>
                  <w:tcMar>
                    <w:top w:w="0" w:type="dxa"/>
                    <w:left w:w="70" w:type="dxa"/>
                    <w:bottom w:w="0" w:type="dxa"/>
                    <w:right w:w="70" w:type="dxa"/>
                  </w:tcMar>
                  <w:vAlign w:val="center"/>
                  <w:hideMark/>
                </w:tcPr>
                <w:p w14:paraId="2457178C" w14:textId="77777777" w:rsidR="00586067" w:rsidRPr="00CB35F3" w:rsidRDefault="00586067" w:rsidP="00B23B4A">
                  <w:pPr>
                    <w:framePr w:hSpace="141" w:wrap="around" w:vAnchor="text" w:hAnchor="text" w:xAlign="center" w:y="1"/>
                    <w:suppressOverlap/>
                    <w:rPr>
                      <w:b/>
                      <w:bCs/>
                    </w:rPr>
                  </w:pPr>
                  <w:r w:rsidRPr="00CB35F3">
                    <w:rPr>
                      <w:b/>
                      <w:bCs/>
                    </w:rPr>
                    <w:t>49</w:t>
                  </w:r>
                </w:p>
              </w:tc>
              <w:tc>
                <w:tcPr>
                  <w:tcW w:w="948" w:type="dxa"/>
                  <w:tcMar>
                    <w:top w:w="0" w:type="dxa"/>
                    <w:left w:w="70" w:type="dxa"/>
                    <w:bottom w:w="0" w:type="dxa"/>
                    <w:right w:w="70" w:type="dxa"/>
                  </w:tcMar>
                  <w:vAlign w:val="center"/>
                  <w:hideMark/>
                </w:tcPr>
                <w:p w14:paraId="3C2F1998" w14:textId="77777777" w:rsidR="00586067" w:rsidRPr="00CB35F3" w:rsidRDefault="00586067" w:rsidP="00B23B4A">
                  <w:pPr>
                    <w:framePr w:hSpace="141" w:wrap="around" w:vAnchor="text" w:hAnchor="text" w:xAlign="center" w:y="1"/>
                    <w:suppressOverlap/>
                    <w:rPr>
                      <w:b/>
                      <w:bCs/>
                    </w:rPr>
                  </w:pPr>
                  <w:r w:rsidRPr="00CB35F3">
                    <w:rPr>
                      <w:b/>
                      <w:bCs/>
                    </w:rPr>
                    <w:t>11,42%</w:t>
                  </w:r>
                </w:p>
              </w:tc>
            </w:tr>
            <w:tr w:rsidR="00586067" w:rsidRPr="00CB35F3" w14:paraId="02982D51" w14:textId="77777777" w:rsidTr="00667B32">
              <w:trPr>
                <w:trHeight w:val="315"/>
              </w:trPr>
              <w:tc>
                <w:tcPr>
                  <w:tcW w:w="748" w:type="dxa"/>
                  <w:tcMar>
                    <w:top w:w="0" w:type="dxa"/>
                    <w:left w:w="70" w:type="dxa"/>
                    <w:bottom w:w="0" w:type="dxa"/>
                    <w:right w:w="70" w:type="dxa"/>
                  </w:tcMar>
                  <w:vAlign w:val="center"/>
                  <w:hideMark/>
                </w:tcPr>
                <w:p w14:paraId="6F8121AB" w14:textId="77777777" w:rsidR="00586067" w:rsidRPr="00CB35F3" w:rsidRDefault="00586067" w:rsidP="00B23B4A">
                  <w:pPr>
                    <w:framePr w:hSpace="141" w:wrap="around" w:vAnchor="text" w:hAnchor="text" w:xAlign="center" w:y="1"/>
                    <w:suppressOverlap/>
                    <w:rPr>
                      <w:b/>
                      <w:bCs/>
                    </w:rPr>
                  </w:pPr>
                  <w:r w:rsidRPr="00CB35F3">
                    <w:rPr>
                      <w:b/>
                      <w:bCs/>
                    </w:rPr>
                    <w:t>14</w:t>
                  </w:r>
                </w:p>
              </w:tc>
              <w:tc>
                <w:tcPr>
                  <w:tcW w:w="930" w:type="dxa"/>
                  <w:tcMar>
                    <w:top w:w="0" w:type="dxa"/>
                    <w:left w:w="70" w:type="dxa"/>
                    <w:bottom w:w="0" w:type="dxa"/>
                    <w:right w:w="70" w:type="dxa"/>
                  </w:tcMar>
                  <w:vAlign w:val="center"/>
                  <w:hideMark/>
                </w:tcPr>
                <w:p w14:paraId="47F5966E" w14:textId="77777777" w:rsidR="00586067" w:rsidRPr="00CB35F3" w:rsidRDefault="00586067" w:rsidP="00B23B4A">
                  <w:pPr>
                    <w:framePr w:hSpace="141" w:wrap="around" w:vAnchor="text" w:hAnchor="text" w:xAlign="center" w:y="1"/>
                    <w:suppressOverlap/>
                    <w:rPr>
                      <w:b/>
                      <w:bCs/>
                    </w:rPr>
                  </w:pPr>
                  <w:r w:rsidRPr="00CB35F3">
                    <w:rPr>
                      <w:b/>
                      <w:bCs/>
                    </w:rPr>
                    <w:t>260</w:t>
                  </w:r>
                </w:p>
              </w:tc>
              <w:tc>
                <w:tcPr>
                  <w:tcW w:w="1035" w:type="dxa"/>
                  <w:tcMar>
                    <w:top w:w="0" w:type="dxa"/>
                    <w:left w:w="70" w:type="dxa"/>
                    <w:bottom w:w="0" w:type="dxa"/>
                    <w:right w:w="70" w:type="dxa"/>
                  </w:tcMar>
                  <w:vAlign w:val="center"/>
                  <w:hideMark/>
                </w:tcPr>
                <w:p w14:paraId="3398D6CC" w14:textId="77777777" w:rsidR="00586067" w:rsidRPr="00CB35F3" w:rsidRDefault="00586067" w:rsidP="00B23B4A">
                  <w:pPr>
                    <w:framePr w:hSpace="141" w:wrap="around" w:vAnchor="text" w:hAnchor="text" w:xAlign="center" w:y="1"/>
                    <w:suppressOverlap/>
                    <w:rPr>
                      <w:b/>
                      <w:bCs/>
                    </w:rPr>
                  </w:pPr>
                  <w:r w:rsidRPr="00CB35F3">
                    <w:rPr>
                      <w:b/>
                      <w:bCs/>
                    </w:rPr>
                    <w:t>244</w:t>
                  </w:r>
                </w:p>
              </w:tc>
              <w:tc>
                <w:tcPr>
                  <w:tcW w:w="1035" w:type="dxa"/>
                  <w:tcMar>
                    <w:top w:w="0" w:type="dxa"/>
                    <w:left w:w="70" w:type="dxa"/>
                    <w:bottom w:w="0" w:type="dxa"/>
                    <w:right w:w="70" w:type="dxa"/>
                  </w:tcMar>
                  <w:vAlign w:val="center"/>
                  <w:hideMark/>
                </w:tcPr>
                <w:p w14:paraId="09752BFA" w14:textId="77777777" w:rsidR="00586067" w:rsidRPr="00CB35F3" w:rsidRDefault="00586067" w:rsidP="00B23B4A">
                  <w:pPr>
                    <w:framePr w:hSpace="141" w:wrap="around" w:vAnchor="text" w:hAnchor="text" w:xAlign="center" w:y="1"/>
                    <w:suppressOverlap/>
                    <w:rPr>
                      <w:b/>
                      <w:bCs/>
                    </w:rPr>
                  </w:pPr>
                  <w:r w:rsidRPr="00CB35F3">
                    <w:rPr>
                      <w:b/>
                      <w:bCs/>
                    </w:rPr>
                    <w:t>504</w:t>
                  </w:r>
                </w:p>
              </w:tc>
              <w:tc>
                <w:tcPr>
                  <w:tcW w:w="930" w:type="dxa"/>
                  <w:tcMar>
                    <w:top w:w="0" w:type="dxa"/>
                    <w:left w:w="70" w:type="dxa"/>
                    <w:bottom w:w="0" w:type="dxa"/>
                    <w:right w:w="70" w:type="dxa"/>
                  </w:tcMar>
                  <w:vAlign w:val="center"/>
                  <w:hideMark/>
                </w:tcPr>
                <w:p w14:paraId="6F24BD74" w14:textId="77777777" w:rsidR="00586067" w:rsidRPr="00CB35F3" w:rsidRDefault="00586067" w:rsidP="00B23B4A">
                  <w:pPr>
                    <w:framePr w:hSpace="141" w:wrap="around" w:vAnchor="text" w:hAnchor="text" w:xAlign="center" w:y="1"/>
                    <w:suppressOverlap/>
                    <w:rPr>
                      <w:b/>
                      <w:bCs/>
                    </w:rPr>
                  </w:pPr>
                  <w:r w:rsidRPr="00CB35F3">
                    <w:rPr>
                      <w:b/>
                      <w:bCs/>
                    </w:rPr>
                    <w:t>34</w:t>
                  </w:r>
                </w:p>
              </w:tc>
              <w:tc>
                <w:tcPr>
                  <w:tcW w:w="1035" w:type="dxa"/>
                  <w:tcMar>
                    <w:top w:w="0" w:type="dxa"/>
                    <w:left w:w="70" w:type="dxa"/>
                    <w:bottom w:w="0" w:type="dxa"/>
                    <w:right w:w="70" w:type="dxa"/>
                  </w:tcMar>
                  <w:vAlign w:val="center"/>
                  <w:hideMark/>
                </w:tcPr>
                <w:p w14:paraId="6F850EB6" w14:textId="77777777" w:rsidR="00586067" w:rsidRPr="00CB35F3" w:rsidRDefault="00586067" w:rsidP="00B23B4A">
                  <w:pPr>
                    <w:framePr w:hSpace="141" w:wrap="around" w:vAnchor="text" w:hAnchor="text" w:xAlign="center" w:y="1"/>
                    <w:suppressOverlap/>
                    <w:rPr>
                      <w:b/>
                      <w:bCs/>
                    </w:rPr>
                  </w:pPr>
                  <w:r w:rsidRPr="00CB35F3">
                    <w:rPr>
                      <w:b/>
                      <w:bCs/>
                    </w:rPr>
                    <w:t>30</w:t>
                  </w:r>
                </w:p>
              </w:tc>
              <w:tc>
                <w:tcPr>
                  <w:tcW w:w="1035" w:type="dxa"/>
                  <w:tcMar>
                    <w:top w:w="0" w:type="dxa"/>
                    <w:left w:w="70" w:type="dxa"/>
                    <w:bottom w:w="0" w:type="dxa"/>
                    <w:right w:w="70" w:type="dxa"/>
                  </w:tcMar>
                  <w:vAlign w:val="center"/>
                  <w:hideMark/>
                </w:tcPr>
                <w:p w14:paraId="5E925AD2" w14:textId="77777777" w:rsidR="00586067" w:rsidRPr="00CB35F3" w:rsidRDefault="00586067" w:rsidP="00B23B4A">
                  <w:pPr>
                    <w:framePr w:hSpace="141" w:wrap="around" w:vAnchor="text" w:hAnchor="text" w:xAlign="center" w:y="1"/>
                    <w:suppressOverlap/>
                    <w:rPr>
                      <w:b/>
                      <w:bCs/>
                    </w:rPr>
                  </w:pPr>
                  <w:r w:rsidRPr="00CB35F3">
                    <w:rPr>
                      <w:b/>
                      <w:bCs/>
                    </w:rPr>
                    <w:t>64</w:t>
                  </w:r>
                </w:p>
              </w:tc>
              <w:tc>
                <w:tcPr>
                  <w:tcW w:w="948" w:type="dxa"/>
                  <w:tcMar>
                    <w:top w:w="0" w:type="dxa"/>
                    <w:left w:w="70" w:type="dxa"/>
                    <w:bottom w:w="0" w:type="dxa"/>
                    <w:right w:w="70" w:type="dxa"/>
                  </w:tcMar>
                  <w:vAlign w:val="center"/>
                  <w:hideMark/>
                </w:tcPr>
                <w:p w14:paraId="2FB30A20" w14:textId="77777777" w:rsidR="00586067" w:rsidRPr="00CB35F3" w:rsidRDefault="00586067" w:rsidP="00B23B4A">
                  <w:pPr>
                    <w:framePr w:hSpace="141" w:wrap="around" w:vAnchor="text" w:hAnchor="text" w:xAlign="center" w:y="1"/>
                    <w:suppressOverlap/>
                    <w:rPr>
                      <w:b/>
                      <w:bCs/>
                    </w:rPr>
                  </w:pPr>
                  <w:r w:rsidRPr="00CB35F3">
                    <w:rPr>
                      <w:b/>
                      <w:bCs/>
                    </w:rPr>
                    <w:t>12,70%</w:t>
                  </w:r>
                </w:p>
              </w:tc>
            </w:tr>
            <w:tr w:rsidR="00586067" w:rsidRPr="00CB35F3" w14:paraId="2CC7F953" w14:textId="77777777" w:rsidTr="00667B32">
              <w:trPr>
                <w:trHeight w:val="315"/>
              </w:trPr>
              <w:tc>
                <w:tcPr>
                  <w:tcW w:w="748" w:type="dxa"/>
                  <w:tcMar>
                    <w:top w:w="0" w:type="dxa"/>
                    <w:left w:w="70" w:type="dxa"/>
                    <w:bottom w:w="0" w:type="dxa"/>
                    <w:right w:w="70" w:type="dxa"/>
                  </w:tcMar>
                  <w:vAlign w:val="center"/>
                  <w:hideMark/>
                </w:tcPr>
                <w:p w14:paraId="230F3F0A" w14:textId="77777777" w:rsidR="00586067" w:rsidRPr="00CB35F3" w:rsidRDefault="00586067" w:rsidP="00B23B4A">
                  <w:pPr>
                    <w:framePr w:hSpace="141" w:wrap="around" w:vAnchor="text" w:hAnchor="text" w:xAlign="center" w:y="1"/>
                    <w:suppressOverlap/>
                    <w:rPr>
                      <w:b/>
                      <w:bCs/>
                    </w:rPr>
                  </w:pPr>
                  <w:r w:rsidRPr="00CB35F3">
                    <w:rPr>
                      <w:b/>
                      <w:bCs/>
                    </w:rPr>
                    <w:t>15</w:t>
                  </w:r>
                </w:p>
              </w:tc>
              <w:tc>
                <w:tcPr>
                  <w:tcW w:w="930" w:type="dxa"/>
                  <w:tcMar>
                    <w:top w:w="0" w:type="dxa"/>
                    <w:left w:w="70" w:type="dxa"/>
                    <w:bottom w:w="0" w:type="dxa"/>
                    <w:right w:w="70" w:type="dxa"/>
                  </w:tcMar>
                  <w:vAlign w:val="center"/>
                  <w:hideMark/>
                </w:tcPr>
                <w:p w14:paraId="1AF22879" w14:textId="77777777" w:rsidR="00586067" w:rsidRPr="00CB35F3" w:rsidRDefault="00586067" w:rsidP="00B23B4A">
                  <w:pPr>
                    <w:framePr w:hSpace="141" w:wrap="around" w:vAnchor="text" w:hAnchor="text" w:xAlign="center" w:y="1"/>
                    <w:suppressOverlap/>
                    <w:rPr>
                      <w:b/>
                      <w:bCs/>
                    </w:rPr>
                  </w:pPr>
                  <w:r w:rsidRPr="00CB35F3">
                    <w:rPr>
                      <w:b/>
                      <w:bCs/>
                    </w:rPr>
                    <w:t>224</w:t>
                  </w:r>
                </w:p>
              </w:tc>
              <w:tc>
                <w:tcPr>
                  <w:tcW w:w="1035" w:type="dxa"/>
                  <w:tcMar>
                    <w:top w:w="0" w:type="dxa"/>
                    <w:left w:w="70" w:type="dxa"/>
                    <w:bottom w:w="0" w:type="dxa"/>
                    <w:right w:w="70" w:type="dxa"/>
                  </w:tcMar>
                  <w:vAlign w:val="center"/>
                  <w:hideMark/>
                </w:tcPr>
                <w:p w14:paraId="57075929" w14:textId="77777777" w:rsidR="00586067" w:rsidRPr="00CB35F3" w:rsidRDefault="00586067" w:rsidP="00B23B4A">
                  <w:pPr>
                    <w:framePr w:hSpace="141" w:wrap="around" w:vAnchor="text" w:hAnchor="text" w:xAlign="center" w:y="1"/>
                    <w:suppressOverlap/>
                    <w:rPr>
                      <w:b/>
                      <w:bCs/>
                    </w:rPr>
                  </w:pPr>
                  <w:r w:rsidRPr="00CB35F3">
                    <w:rPr>
                      <w:b/>
                      <w:bCs/>
                    </w:rPr>
                    <w:t>240</w:t>
                  </w:r>
                </w:p>
              </w:tc>
              <w:tc>
                <w:tcPr>
                  <w:tcW w:w="1035" w:type="dxa"/>
                  <w:tcMar>
                    <w:top w:w="0" w:type="dxa"/>
                    <w:left w:w="70" w:type="dxa"/>
                    <w:bottom w:w="0" w:type="dxa"/>
                    <w:right w:w="70" w:type="dxa"/>
                  </w:tcMar>
                  <w:vAlign w:val="center"/>
                  <w:hideMark/>
                </w:tcPr>
                <w:p w14:paraId="4FF4645E" w14:textId="77777777" w:rsidR="00586067" w:rsidRPr="00CB35F3" w:rsidRDefault="00586067" w:rsidP="00B23B4A">
                  <w:pPr>
                    <w:framePr w:hSpace="141" w:wrap="around" w:vAnchor="text" w:hAnchor="text" w:xAlign="center" w:y="1"/>
                    <w:suppressOverlap/>
                    <w:rPr>
                      <w:b/>
                      <w:bCs/>
                    </w:rPr>
                  </w:pPr>
                  <w:r w:rsidRPr="00CB35F3">
                    <w:rPr>
                      <w:b/>
                      <w:bCs/>
                    </w:rPr>
                    <w:t>464</w:t>
                  </w:r>
                </w:p>
              </w:tc>
              <w:tc>
                <w:tcPr>
                  <w:tcW w:w="930" w:type="dxa"/>
                  <w:tcMar>
                    <w:top w:w="0" w:type="dxa"/>
                    <w:left w:w="70" w:type="dxa"/>
                    <w:bottom w:w="0" w:type="dxa"/>
                    <w:right w:w="70" w:type="dxa"/>
                  </w:tcMar>
                  <w:vAlign w:val="center"/>
                  <w:hideMark/>
                </w:tcPr>
                <w:p w14:paraId="6DBB4842" w14:textId="77777777" w:rsidR="00586067" w:rsidRPr="00CB35F3" w:rsidRDefault="00586067" w:rsidP="00B23B4A">
                  <w:pPr>
                    <w:framePr w:hSpace="141" w:wrap="around" w:vAnchor="text" w:hAnchor="text" w:xAlign="center" w:y="1"/>
                    <w:suppressOverlap/>
                    <w:rPr>
                      <w:b/>
                      <w:bCs/>
                    </w:rPr>
                  </w:pPr>
                  <w:r w:rsidRPr="00CB35F3">
                    <w:rPr>
                      <w:b/>
                      <w:bCs/>
                    </w:rPr>
                    <w:t>24</w:t>
                  </w:r>
                </w:p>
              </w:tc>
              <w:tc>
                <w:tcPr>
                  <w:tcW w:w="1035" w:type="dxa"/>
                  <w:tcMar>
                    <w:top w:w="0" w:type="dxa"/>
                    <w:left w:w="70" w:type="dxa"/>
                    <w:bottom w:w="0" w:type="dxa"/>
                    <w:right w:w="70" w:type="dxa"/>
                  </w:tcMar>
                  <w:vAlign w:val="center"/>
                  <w:hideMark/>
                </w:tcPr>
                <w:p w14:paraId="44CFEB36" w14:textId="77777777" w:rsidR="00586067" w:rsidRPr="00CB35F3" w:rsidRDefault="00586067" w:rsidP="00B23B4A">
                  <w:pPr>
                    <w:framePr w:hSpace="141" w:wrap="around" w:vAnchor="text" w:hAnchor="text" w:xAlign="center" w:y="1"/>
                    <w:suppressOverlap/>
                    <w:rPr>
                      <w:b/>
                      <w:bCs/>
                    </w:rPr>
                  </w:pPr>
                  <w:r w:rsidRPr="00CB35F3">
                    <w:rPr>
                      <w:b/>
                      <w:bCs/>
                    </w:rPr>
                    <w:t>26</w:t>
                  </w:r>
                </w:p>
              </w:tc>
              <w:tc>
                <w:tcPr>
                  <w:tcW w:w="1035" w:type="dxa"/>
                  <w:tcMar>
                    <w:top w:w="0" w:type="dxa"/>
                    <w:left w:w="70" w:type="dxa"/>
                    <w:bottom w:w="0" w:type="dxa"/>
                    <w:right w:w="70" w:type="dxa"/>
                  </w:tcMar>
                  <w:vAlign w:val="center"/>
                  <w:hideMark/>
                </w:tcPr>
                <w:p w14:paraId="777F4B5C" w14:textId="77777777" w:rsidR="00586067" w:rsidRPr="00CB35F3" w:rsidRDefault="00586067" w:rsidP="00B23B4A">
                  <w:pPr>
                    <w:framePr w:hSpace="141" w:wrap="around" w:vAnchor="text" w:hAnchor="text" w:xAlign="center" w:y="1"/>
                    <w:suppressOverlap/>
                    <w:rPr>
                      <w:b/>
                      <w:bCs/>
                    </w:rPr>
                  </w:pPr>
                  <w:r w:rsidRPr="00CB35F3">
                    <w:rPr>
                      <w:b/>
                      <w:bCs/>
                    </w:rPr>
                    <w:t>50</w:t>
                  </w:r>
                </w:p>
              </w:tc>
              <w:tc>
                <w:tcPr>
                  <w:tcW w:w="948" w:type="dxa"/>
                  <w:tcMar>
                    <w:top w:w="0" w:type="dxa"/>
                    <w:left w:w="70" w:type="dxa"/>
                    <w:bottom w:w="0" w:type="dxa"/>
                    <w:right w:w="70" w:type="dxa"/>
                  </w:tcMar>
                  <w:vAlign w:val="center"/>
                  <w:hideMark/>
                </w:tcPr>
                <w:p w14:paraId="697AF2F8" w14:textId="77777777" w:rsidR="00586067" w:rsidRPr="00CB35F3" w:rsidRDefault="00586067" w:rsidP="00B23B4A">
                  <w:pPr>
                    <w:framePr w:hSpace="141" w:wrap="around" w:vAnchor="text" w:hAnchor="text" w:xAlign="center" w:y="1"/>
                    <w:suppressOverlap/>
                    <w:rPr>
                      <w:b/>
                      <w:bCs/>
                    </w:rPr>
                  </w:pPr>
                  <w:r w:rsidRPr="00CB35F3">
                    <w:rPr>
                      <w:b/>
                      <w:bCs/>
                    </w:rPr>
                    <w:t>10,78%</w:t>
                  </w:r>
                </w:p>
              </w:tc>
            </w:tr>
            <w:tr w:rsidR="00586067" w:rsidRPr="00CB35F3" w14:paraId="6F09D2A3" w14:textId="77777777" w:rsidTr="00667B32">
              <w:trPr>
                <w:trHeight w:val="315"/>
              </w:trPr>
              <w:tc>
                <w:tcPr>
                  <w:tcW w:w="748" w:type="dxa"/>
                  <w:tcMar>
                    <w:top w:w="0" w:type="dxa"/>
                    <w:left w:w="70" w:type="dxa"/>
                    <w:bottom w:w="0" w:type="dxa"/>
                    <w:right w:w="70" w:type="dxa"/>
                  </w:tcMar>
                  <w:vAlign w:val="center"/>
                  <w:hideMark/>
                </w:tcPr>
                <w:p w14:paraId="0EB4A7D8" w14:textId="77777777" w:rsidR="00586067" w:rsidRPr="00CB35F3" w:rsidRDefault="00586067" w:rsidP="00B23B4A">
                  <w:pPr>
                    <w:framePr w:hSpace="141" w:wrap="around" w:vAnchor="text" w:hAnchor="text" w:xAlign="center" w:y="1"/>
                    <w:suppressOverlap/>
                    <w:rPr>
                      <w:b/>
                      <w:bCs/>
                    </w:rPr>
                  </w:pPr>
                  <w:r w:rsidRPr="00CB35F3">
                    <w:rPr>
                      <w:b/>
                      <w:bCs/>
                    </w:rPr>
                    <w:t>16</w:t>
                  </w:r>
                </w:p>
              </w:tc>
              <w:tc>
                <w:tcPr>
                  <w:tcW w:w="930" w:type="dxa"/>
                  <w:tcMar>
                    <w:top w:w="0" w:type="dxa"/>
                    <w:left w:w="70" w:type="dxa"/>
                    <w:bottom w:w="0" w:type="dxa"/>
                    <w:right w:w="70" w:type="dxa"/>
                  </w:tcMar>
                  <w:vAlign w:val="center"/>
                  <w:hideMark/>
                </w:tcPr>
                <w:p w14:paraId="4397AFE8" w14:textId="77777777" w:rsidR="00586067" w:rsidRPr="00CB35F3" w:rsidRDefault="00586067" w:rsidP="00B23B4A">
                  <w:pPr>
                    <w:framePr w:hSpace="141" w:wrap="around" w:vAnchor="text" w:hAnchor="text" w:xAlign="center" w:y="1"/>
                    <w:suppressOverlap/>
                    <w:rPr>
                      <w:b/>
                      <w:bCs/>
                    </w:rPr>
                  </w:pPr>
                  <w:r w:rsidRPr="00CB35F3">
                    <w:rPr>
                      <w:b/>
                      <w:bCs/>
                    </w:rPr>
                    <w:t>234</w:t>
                  </w:r>
                </w:p>
              </w:tc>
              <w:tc>
                <w:tcPr>
                  <w:tcW w:w="1035" w:type="dxa"/>
                  <w:tcMar>
                    <w:top w:w="0" w:type="dxa"/>
                    <w:left w:w="70" w:type="dxa"/>
                    <w:bottom w:w="0" w:type="dxa"/>
                    <w:right w:w="70" w:type="dxa"/>
                  </w:tcMar>
                  <w:vAlign w:val="center"/>
                  <w:hideMark/>
                </w:tcPr>
                <w:p w14:paraId="2D443817" w14:textId="77777777" w:rsidR="00586067" w:rsidRPr="00CB35F3" w:rsidRDefault="00586067" w:rsidP="00B23B4A">
                  <w:pPr>
                    <w:framePr w:hSpace="141" w:wrap="around" w:vAnchor="text" w:hAnchor="text" w:xAlign="center" w:y="1"/>
                    <w:suppressOverlap/>
                    <w:rPr>
                      <w:b/>
                      <w:bCs/>
                    </w:rPr>
                  </w:pPr>
                  <w:r w:rsidRPr="00CB35F3">
                    <w:rPr>
                      <w:b/>
                      <w:bCs/>
                    </w:rPr>
                    <w:t>232</w:t>
                  </w:r>
                </w:p>
              </w:tc>
              <w:tc>
                <w:tcPr>
                  <w:tcW w:w="1035" w:type="dxa"/>
                  <w:tcMar>
                    <w:top w:w="0" w:type="dxa"/>
                    <w:left w:w="70" w:type="dxa"/>
                    <w:bottom w:w="0" w:type="dxa"/>
                    <w:right w:w="70" w:type="dxa"/>
                  </w:tcMar>
                  <w:vAlign w:val="center"/>
                  <w:hideMark/>
                </w:tcPr>
                <w:p w14:paraId="2D2897E8" w14:textId="77777777" w:rsidR="00586067" w:rsidRPr="00CB35F3" w:rsidRDefault="00586067" w:rsidP="00B23B4A">
                  <w:pPr>
                    <w:framePr w:hSpace="141" w:wrap="around" w:vAnchor="text" w:hAnchor="text" w:xAlign="center" w:y="1"/>
                    <w:suppressOverlap/>
                    <w:rPr>
                      <w:b/>
                      <w:bCs/>
                    </w:rPr>
                  </w:pPr>
                  <w:r w:rsidRPr="00CB35F3">
                    <w:rPr>
                      <w:b/>
                      <w:bCs/>
                    </w:rPr>
                    <w:t>466</w:t>
                  </w:r>
                </w:p>
              </w:tc>
              <w:tc>
                <w:tcPr>
                  <w:tcW w:w="930" w:type="dxa"/>
                  <w:tcMar>
                    <w:top w:w="0" w:type="dxa"/>
                    <w:left w:w="70" w:type="dxa"/>
                    <w:bottom w:w="0" w:type="dxa"/>
                    <w:right w:w="70" w:type="dxa"/>
                  </w:tcMar>
                  <w:vAlign w:val="center"/>
                  <w:hideMark/>
                </w:tcPr>
                <w:p w14:paraId="0958790D" w14:textId="77777777" w:rsidR="00586067" w:rsidRPr="00CB35F3" w:rsidRDefault="00586067" w:rsidP="00B23B4A">
                  <w:pPr>
                    <w:framePr w:hSpace="141" w:wrap="around" w:vAnchor="text" w:hAnchor="text" w:xAlign="center" w:y="1"/>
                    <w:suppressOverlap/>
                    <w:rPr>
                      <w:b/>
                      <w:bCs/>
                    </w:rPr>
                  </w:pPr>
                  <w:r w:rsidRPr="00CB35F3">
                    <w:rPr>
                      <w:b/>
                      <w:bCs/>
                    </w:rPr>
                    <w:t>19</w:t>
                  </w:r>
                </w:p>
              </w:tc>
              <w:tc>
                <w:tcPr>
                  <w:tcW w:w="1035" w:type="dxa"/>
                  <w:tcMar>
                    <w:top w:w="0" w:type="dxa"/>
                    <w:left w:w="70" w:type="dxa"/>
                    <w:bottom w:w="0" w:type="dxa"/>
                    <w:right w:w="70" w:type="dxa"/>
                  </w:tcMar>
                  <w:vAlign w:val="center"/>
                  <w:hideMark/>
                </w:tcPr>
                <w:p w14:paraId="22288C11" w14:textId="77777777" w:rsidR="00586067" w:rsidRPr="00CB35F3" w:rsidRDefault="00586067" w:rsidP="00B23B4A">
                  <w:pPr>
                    <w:framePr w:hSpace="141" w:wrap="around" w:vAnchor="text" w:hAnchor="text" w:xAlign="center" w:y="1"/>
                    <w:suppressOverlap/>
                    <w:rPr>
                      <w:b/>
                      <w:bCs/>
                    </w:rPr>
                  </w:pPr>
                  <w:r w:rsidRPr="00CB35F3">
                    <w:rPr>
                      <w:b/>
                      <w:bCs/>
                    </w:rPr>
                    <w:t>31</w:t>
                  </w:r>
                </w:p>
              </w:tc>
              <w:tc>
                <w:tcPr>
                  <w:tcW w:w="1035" w:type="dxa"/>
                  <w:tcMar>
                    <w:top w:w="0" w:type="dxa"/>
                    <w:left w:w="70" w:type="dxa"/>
                    <w:bottom w:w="0" w:type="dxa"/>
                    <w:right w:w="70" w:type="dxa"/>
                  </w:tcMar>
                  <w:vAlign w:val="center"/>
                  <w:hideMark/>
                </w:tcPr>
                <w:p w14:paraId="08921F54" w14:textId="77777777" w:rsidR="00586067" w:rsidRPr="00CB35F3" w:rsidRDefault="00586067" w:rsidP="00B23B4A">
                  <w:pPr>
                    <w:framePr w:hSpace="141" w:wrap="around" w:vAnchor="text" w:hAnchor="text" w:xAlign="center" w:y="1"/>
                    <w:suppressOverlap/>
                    <w:rPr>
                      <w:b/>
                      <w:bCs/>
                    </w:rPr>
                  </w:pPr>
                  <w:r w:rsidRPr="00CB35F3">
                    <w:rPr>
                      <w:b/>
                      <w:bCs/>
                    </w:rPr>
                    <w:t>50</w:t>
                  </w:r>
                </w:p>
              </w:tc>
              <w:tc>
                <w:tcPr>
                  <w:tcW w:w="948" w:type="dxa"/>
                  <w:tcMar>
                    <w:top w:w="0" w:type="dxa"/>
                    <w:left w:w="70" w:type="dxa"/>
                    <w:bottom w:w="0" w:type="dxa"/>
                    <w:right w:w="70" w:type="dxa"/>
                  </w:tcMar>
                  <w:vAlign w:val="center"/>
                  <w:hideMark/>
                </w:tcPr>
                <w:p w14:paraId="68C88100" w14:textId="77777777" w:rsidR="00586067" w:rsidRPr="00CB35F3" w:rsidRDefault="00586067" w:rsidP="00B23B4A">
                  <w:pPr>
                    <w:framePr w:hSpace="141" w:wrap="around" w:vAnchor="text" w:hAnchor="text" w:xAlign="center" w:y="1"/>
                    <w:suppressOverlap/>
                    <w:rPr>
                      <w:b/>
                      <w:bCs/>
                    </w:rPr>
                  </w:pPr>
                  <w:r w:rsidRPr="00CB35F3">
                    <w:rPr>
                      <w:b/>
                      <w:bCs/>
                    </w:rPr>
                    <w:t>10,73%</w:t>
                  </w:r>
                </w:p>
              </w:tc>
            </w:tr>
            <w:tr w:rsidR="00586067" w:rsidRPr="00CB35F3" w14:paraId="488244F5" w14:textId="77777777" w:rsidTr="00667B32">
              <w:trPr>
                <w:trHeight w:val="315"/>
              </w:trPr>
              <w:tc>
                <w:tcPr>
                  <w:tcW w:w="748" w:type="dxa"/>
                  <w:tcMar>
                    <w:top w:w="0" w:type="dxa"/>
                    <w:left w:w="70" w:type="dxa"/>
                    <w:bottom w:w="0" w:type="dxa"/>
                    <w:right w:w="70" w:type="dxa"/>
                  </w:tcMar>
                  <w:vAlign w:val="center"/>
                  <w:hideMark/>
                </w:tcPr>
                <w:p w14:paraId="66E297CC" w14:textId="77777777" w:rsidR="00586067" w:rsidRPr="00CB35F3" w:rsidRDefault="00586067" w:rsidP="00B23B4A">
                  <w:pPr>
                    <w:framePr w:hSpace="141" w:wrap="around" w:vAnchor="text" w:hAnchor="text" w:xAlign="center" w:y="1"/>
                    <w:suppressOverlap/>
                    <w:rPr>
                      <w:b/>
                      <w:bCs/>
                    </w:rPr>
                  </w:pPr>
                  <w:r w:rsidRPr="00CB35F3">
                    <w:rPr>
                      <w:b/>
                      <w:bCs/>
                    </w:rPr>
                    <w:t>17</w:t>
                  </w:r>
                </w:p>
              </w:tc>
              <w:tc>
                <w:tcPr>
                  <w:tcW w:w="930" w:type="dxa"/>
                  <w:tcMar>
                    <w:top w:w="0" w:type="dxa"/>
                    <w:left w:w="70" w:type="dxa"/>
                    <w:bottom w:w="0" w:type="dxa"/>
                    <w:right w:w="70" w:type="dxa"/>
                  </w:tcMar>
                  <w:vAlign w:val="center"/>
                  <w:hideMark/>
                </w:tcPr>
                <w:p w14:paraId="1DE64C32" w14:textId="77777777" w:rsidR="00586067" w:rsidRPr="00CB35F3" w:rsidRDefault="00586067" w:rsidP="00B23B4A">
                  <w:pPr>
                    <w:framePr w:hSpace="141" w:wrap="around" w:vAnchor="text" w:hAnchor="text" w:xAlign="center" w:y="1"/>
                    <w:suppressOverlap/>
                    <w:rPr>
                      <w:b/>
                      <w:bCs/>
                    </w:rPr>
                  </w:pPr>
                  <w:r w:rsidRPr="00CB35F3">
                    <w:rPr>
                      <w:b/>
                      <w:bCs/>
                    </w:rPr>
                    <w:t>237</w:t>
                  </w:r>
                </w:p>
              </w:tc>
              <w:tc>
                <w:tcPr>
                  <w:tcW w:w="1035" w:type="dxa"/>
                  <w:tcMar>
                    <w:top w:w="0" w:type="dxa"/>
                    <w:left w:w="70" w:type="dxa"/>
                    <w:bottom w:w="0" w:type="dxa"/>
                    <w:right w:w="70" w:type="dxa"/>
                  </w:tcMar>
                  <w:vAlign w:val="center"/>
                  <w:hideMark/>
                </w:tcPr>
                <w:p w14:paraId="2705E0E6" w14:textId="77777777" w:rsidR="00586067" w:rsidRPr="00CB35F3" w:rsidRDefault="00586067" w:rsidP="00B23B4A">
                  <w:pPr>
                    <w:framePr w:hSpace="141" w:wrap="around" w:vAnchor="text" w:hAnchor="text" w:xAlign="center" w:y="1"/>
                    <w:suppressOverlap/>
                    <w:rPr>
                      <w:b/>
                      <w:bCs/>
                    </w:rPr>
                  </w:pPr>
                  <w:r w:rsidRPr="00CB35F3">
                    <w:rPr>
                      <w:b/>
                      <w:bCs/>
                    </w:rPr>
                    <w:t>233</w:t>
                  </w:r>
                </w:p>
              </w:tc>
              <w:tc>
                <w:tcPr>
                  <w:tcW w:w="1035" w:type="dxa"/>
                  <w:tcMar>
                    <w:top w:w="0" w:type="dxa"/>
                    <w:left w:w="70" w:type="dxa"/>
                    <w:bottom w:w="0" w:type="dxa"/>
                    <w:right w:w="70" w:type="dxa"/>
                  </w:tcMar>
                  <w:vAlign w:val="center"/>
                  <w:hideMark/>
                </w:tcPr>
                <w:p w14:paraId="27919D04" w14:textId="77777777" w:rsidR="00586067" w:rsidRPr="00CB35F3" w:rsidRDefault="00586067" w:rsidP="00B23B4A">
                  <w:pPr>
                    <w:framePr w:hSpace="141" w:wrap="around" w:vAnchor="text" w:hAnchor="text" w:xAlign="center" w:y="1"/>
                    <w:suppressOverlap/>
                    <w:rPr>
                      <w:b/>
                      <w:bCs/>
                    </w:rPr>
                  </w:pPr>
                  <w:r w:rsidRPr="00CB35F3">
                    <w:rPr>
                      <w:b/>
                      <w:bCs/>
                    </w:rPr>
                    <w:t>470</w:t>
                  </w:r>
                </w:p>
              </w:tc>
              <w:tc>
                <w:tcPr>
                  <w:tcW w:w="930" w:type="dxa"/>
                  <w:tcMar>
                    <w:top w:w="0" w:type="dxa"/>
                    <w:left w:w="70" w:type="dxa"/>
                    <w:bottom w:w="0" w:type="dxa"/>
                    <w:right w:w="70" w:type="dxa"/>
                  </w:tcMar>
                  <w:vAlign w:val="center"/>
                  <w:hideMark/>
                </w:tcPr>
                <w:p w14:paraId="1841648B" w14:textId="77777777" w:rsidR="00586067" w:rsidRPr="00CB35F3" w:rsidRDefault="00586067" w:rsidP="00B23B4A">
                  <w:pPr>
                    <w:framePr w:hSpace="141" w:wrap="around" w:vAnchor="text" w:hAnchor="text" w:xAlign="center" w:y="1"/>
                    <w:suppressOverlap/>
                    <w:rPr>
                      <w:b/>
                      <w:bCs/>
                    </w:rPr>
                  </w:pPr>
                  <w:r w:rsidRPr="00CB35F3">
                    <w:rPr>
                      <w:b/>
                      <w:bCs/>
                    </w:rPr>
                    <w:t>29</w:t>
                  </w:r>
                </w:p>
              </w:tc>
              <w:tc>
                <w:tcPr>
                  <w:tcW w:w="1035" w:type="dxa"/>
                  <w:tcMar>
                    <w:top w:w="0" w:type="dxa"/>
                    <w:left w:w="70" w:type="dxa"/>
                    <w:bottom w:w="0" w:type="dxa"/>
                    <w:right w:w="70" w:type="dxa"/>
                  </w:tcMar>
                  <w:vAlign w:val="center"/>
                  <w:hideMark/>
                </w:tcPr>
                <w:p w14:paraId="1FBAE3EB" w14:textId="77777777" w:rsidR="00586067" w:rsidRPr="00CB35F3" w:rsidRDefault="00586067" w:rsidP="00B23B4A">
                  <w:pPr>
                    <w:framePr w:hSpace="141" w:wrap="around" w:vAnchor="text" w:hAnchor="text" w:xAlign="center" w:y="1"/>
                    <w:suppressOverlap/>
                    <w:rPr>
                      <w:b/>
                      <w:bCs/>
                    </w:rPr>
                  </w:pPr>
                  <w:r w:rsidRPr="00CB35F3">
                    <w:rPr>
                      <w:b/>
                      <w:bCs/>
                    </w:rPr>
                    <w:t>19</w:t>
                  </w:r>
                </w:p>
              </w:tc>
              <w:tc>
                <w:tcPr>
                  <w:tcW w:w="1035" w:type="dxa"/>
                  <w:tcMar>
                    <w:top w:w="0" w:type="dxa"/>
                    <w:left w:w="70" w:type="dxa"/>
                    <w:bottom w:w="0" w:type="dxa"/>
                    <w:right w:w="70" w:type="dxa"/>
                  </w:tcMar>
                  <w:vAlign w:val="center"/>
                  <w:hideMark/>
                </w:tcPr>
                <w:p w14:paraId="5FC6636B" w14:textId="77777777" w:rsidR="00586067" w:rsidRPr="00CB35F3" w:rsidRDefault="00586067" w:rsidP="00B23B4A">
                  <w:pPr>
                    <w:framePr w:hSpace="141" w:wrap="around" w:vAnchor="text" w:hAnchor="text" w:xAlign="center" w:y="1"/>
                    <w:suppressOverlap/>
                    <w:rPr>
                      <w:b/>
                      <w:bCs/>
                    </w:rPr>
                  </w:pPr>
                  <w:r w:rsidRPr="00CB35F3">
                    <w:rPr>
                      <w:b/>
                      <w:bCs/>
                    </w:rPr>
                    <w:t>48</w:t>
                  </w:r>
                </w:p>
              </w:tc>
              <w:tc>
                <w:tcPr>
                  <w:tcW w:w="948" w:type="dxa"/>
                  <w:tcMar>
                    <w:top w:w="0" w:type="dxa"/>
                    <w:left w:w="70" w:type="dxa"/>
                    <w:bottom w:w="0" w:type="dxa"/>
                    <w:right w:w="70" w:type="dxa"/>
                  </w:tcMar>
                  <w:vAlign w:val="center"/>
                  <w:hideMark/>
                </w:tcPr>
                <w:p w14:paraId="58E0F0C9" w14:textId="77777777" w:rsidR="00586067" w:rsidRPr="00CB35F3" w:rsidRDefault="00586067" w:rsidP="00B23B4A">
                  <w:pPr>
                    <w:framePr w:hSpace="141" w:wrap="around" w:vAnchor="text" w:hAnchor="text" w:xAlign="center" w:y="1"/>
                    <w:suppressOverlap/>
                    <w:rPr>
                      <w:b/>
                      <w:bCs/>
                    </w:rPr>
                  </w:pPr>
                  <w:r w:rsidRPr="00CB35F3">
                    <w:rPr>
                      <w:b/>
                      <w:bCs/>
                    </w:rPr>
                    <w:t>10,21%</w:t>
                  </w:r>
                </w:p>
              </w:tc>
            </w:tr>
            <w:tr w:rsidR="00586067" w:rsidRPr="00CB35F3" w14:paraId="475B6E60" w14:textId="77777777" w:rsidTr="00667B32">
              <w:trPr>
                <w:trHeight w:val="315"/>
              </w:trPr>
              <w:tc>
                <w:tcPr>
                  <w:tcW w:w="748" w:type="dxa"/>
                  <w:tcMar>
                    <w:top w:w="0" w:type="dxa"/>
                    <w:left w:w="70" w:type="dxa"/>
                    <w:bottom w:w="0" w:type="dxa"/>
                    <w:right w:w="70" w:type="dxa"/>
                  </w:tcMar>
                  <w:vAlign w:val="center"/>
                  <w:hideMark/>
                </w:tcPr>
                <w:p w14:paraId="489C4119" w14:textId="77777777" w:rsidR="00586067" w:rsidRPr="00CB35F3" w:rsidRDefault="00586067" w:rsidP="00B23B4A">
                  <w:pPr>
                    <w:framePr w:hSpace="141" w:wrap="around" w:vAnchor="text" w:hAnchor="text" w:xAlign="center" w:y="1"/>
                    <w:suppressOverlap/>
                    <w:rPr>
                      <w:b/>
                      <w:bCs/>
                    </w:rPr>
                  </w:pPr>
                  <w:r w:rsidRPr="00CB35F3">
                    <w:rPr>
                      <w:b/>
                      <w:bCs/>
                    </w:rPr>
                    <w:t>18</w:t>
                  </w:r>
                </w:p>
              </w:tc>
              <w:tc>
                <w:tcPr>
                  <w:tcW w:w="930" w:type="dxa"/>
                  <w:tcMar>
                    <w:top w:w="0" w:type="dxa"/>
                    <w:left w:w="70" w:type="dxa"/>
                    <w:bottom w:w="0" w:type="dxa"/>
                    <w:right w:w="70" w:type="dxa"/>
                  </w:tcMar>
                  <w:vAlign w:val="center"/>
                  <w:hideMark/>
                </w:tcPr>
                <w:p w14:paraId="2D7A2A9C" w14:textId="77777777" w:rsidR="00586067" w:rsidRPr="00CB35F3" w:rsidRDefault="00586067" w:rsidP="00B23B4A">
                  <w:pPr>
                    <w:framePr w:hSpace="141" w:wrap="around" w:vAnchor="text" w:hAnchor="text" w:xAlign="center" w:y="1"/>
                    <w:suppressOverlap/>
                    <w:rPr>
                      <w:b/>
                      <w:bCs/>
                    </w:rPr>
                  </w:pPr>
                  <w:r w:rsidRPr="00CB35F3">
                    <w:rPr>
                      <w:b/>
                      <w:bCs/>
                    </w:rPr>
                    <w:t>249</w:t>
                  </w:r>
                </w:p>
              </w:tc>
              <w:tc>
                <w:tcPr>
                  <w:tcW w:w="1035" w:type="dxa"/>
                  <w:tcMar>
                    <w:top w:w="0" w:type="dxa"/>
                    <w:left w:w="70" w:type="dxa"/>
                    <w:bottom w:w="0" w:type="dxa"/>
                    <w:right w:w="70" w:type="dxa"/>
                  </w:tcMar>
                  <w:vAlign w:val="center"/>
                  <w:hideMark/>
                </w:tcPr>
                <w:p w14:paraId="42C163EF" w14:textId="77777777" w:rsidR="00586067" w:rsidRPr="00CB35F3" w:rsidRDefault="00586067" w:rsidP="00B23B4A">
                  <w:pPr>
                    <w:framePr w:hSpace="141" w:wrap="around" w:vAnchor="text" w:hAnchor="text" w:xAlign="center" w:y="1"/>
                    <w:suppressOverlap/>
                    <w:rPr>
                      <w:b/>
                      <w:bCs/>
                    </w:rPr>
                  </w:pPr>
                  <w:r w:rsidRPr="00CB35F3">
                    <w:rPr>
                      <w:b/>
                      <w:bCs/>
                    </w:rPr>
                    <w:t>240</w:t>
                  </w:r>
                </w:p>
              </w:tc>
              <w:tc>
                <w:tcPr>
                  <w:tcW w:w="1035" w:type="dxa"/>
                  <w:tcMar>
                    <w:top w:w="0" w:type="dxa"/>
                    <w:left w:w="70" w:type="dxa"/>
                    <w:bottom w:w="0" w:type="dxa"/>
                    <w:right w:w="70" w:type="dxa"/>
                  </w:tcMar>
                  <w:vAlign w:val="center"/>
                  <w:hideMark/>
                </w:tcPr>
                <w:p w14:paraId="1023A9AF" w14:textId="77777777" w:rsidR="00586067" w:rsidRPr="00CB35F3" w:rsidRDefault="00586067" w:rsidP="00B23B4A">
                  <w:pPr>
                    <w:framePr w:hSpace="141" w:wrap="around" w:vAnchor="text" w:hAnchor="text" w:xAlign="center" w:y="1"/>
                    <w:suppressOverlap/>
                    <w:rPr>
                      <w:b/>
                      <w:bCs/>
                    </w:rPr>
                  </w:pPr>
                  <w:r w:rsidRPr="00CB35F3">
                    <w:rPr>
                      <w:b/>
                      <w:bCs/>
                    </w:rPr>
                    <w:t>489</w:t>
                  </w:r>
                </w:p>
              </w:tc>
              <w:tc>
                <w:tcPr>
                  <w:tcW w:w="930" w:type="dxa"/>
                  <w:tcMar>
                    <w:top w:w="0" w:type="dxa"/>
                    <w:left w:w="70" w:type="dxa"/>
                    <w:bottom w:w="0" w:type="dxa"/>
                    <w:right w:w="70" w:type="dxa"/>
                  </w:tcMar>
                  <w:vAlign w:val="center"/>
                  <w:hideMark/>
                </w:tcPr>
                <w:p w14:paraId="43315A98" w14:textId="77777777" w:rsidR="00586067" w:rsidRPr="00CB35F3" w:rsidRDefault="00586067" w:rsidP="00B23B4A">
                  <w:pPr>
                    <w:framePr w:hSpace="141" w:wrap="around" w:vAnchor="text" w:hAnchor="text" w:xAlign="center" w:y="1"/>
                    <w:suppressOverlap/>
                    <w:rPr>
                      <w:b/>
                      <w:bCs/>
                    </w:rPr>
                  </w:pPr>
                  <w:r w:rsidRPr="00CB35F3">
                    <w:rPr>
                      <w:b/>
                      <w:bCs/>
                    </w:rPr>
                    <w:t>23</w:t>
                  </w:r>
                </w:p>
              </w:tc>
              <w:tc>
                <w:tcPr>
                  <w:tcW w:w="1035" w:type="dxa"/>
                  <w:tcMar>
                    <w:top w:w="0" w:type="dxa"/>
                    <w:left w:w="70" w:type="dxa"/>
                    <w:bottom w:w="0" w:type="dxa"/>
                    <w:right w:w="70" w:type="dxa"/>
                  </w:tcMar>
                  <w:vAlign w:val="center"/>
                  <w:hideMark/>
                </w:tcPr>
                <w:p w14:paraId="576D3FA6" w14:textId="77777777" w:rsidR="00586067" w:rsidRPr="00CB35F3" w:rsidRDefault="00586067" w:rsidP="00B23B4A">
                  <w:pPr>
                    <w:framePr w:hSpace="141" w:wrap="around" w:vAnchor="text" w:hAnchor="text" w:xAlign="center" w:y="1"/>
                    <w:suppressOverlap/>
                    <w:rPr>
                      <w:b/>
                      <w:bCs/>
                    </w:rPr>
                  </w:pPr>
                  <w:r w:rsidRPr="00CB35F3">
                    <w:rPr>
                      <w:b/>
                      <w:bCs/>
                    </w:rPr>
                    <w:t>16</w:t>
                  </w:r>
                </w:p>
              </w:tc>
              <w:tc>
                <w:tcPr>
                  <w:tcW w:w="1035" w:type="dxa"/>
                  <w:tcMar>
                    <w:top w:w="0" w:type="dxa"/>
                    <w:left w:w="70" w:type="dxa"/>
                    <w:bottom w:w="0" w:type="dxa"/>
                    <w:right w:w="70" w:type="dxa"/>
                  </w:tcMar>
                  <w:vAlign w:val="center"/>
                  <w:hideMark/>
                </w:tcPr>
                <w:p w14:paraId="152FB99F" w14:textId="77777777" w:rsidR="00586067" w:rsidRPr="00CB35F3" w:rsidRDefault="00586067" w:rsidP="00B23B4A">
                  <w:pPr>
                    <w:framePr w:hSpace="141" w:wrap="around" w:vAnchor="text" w:hAnchor="text" w:xAlign="center" w:y="1"/>
                    <w:suppressOverlap/>
                    <w:rPr>
                      <w:b/>
                      <w:bCs/>
                    </w:rPr>
                  </w:pPr>
                  <w:r w:rsidRPr="00CB35F3">
                    <w:rPr>
                      <w:b/>
                      <w:bCs/>
                    </w:rPr>
                    <w:t>39</w:t>
                  </w:r>
                </w:p>
              </w:tc>
              <w:tc>
                <w:tcPr>
                  <w:tcW w:w="948" w:type="dxa"/>
                  <w:tcMar>
                    <w:top w:w="0" w:type="dxa"/>
                    <w:left w:w="70" w:type="dxa"/>
                    <w:bottom w:w="0" w:type="dxa"/>
                    <w:right w:w="70" w:type="dxa"/>
                  </w:tcMar>
                  <w:vAlign w:val="center"/>
                  <w:hideMark/>
                </w:tcPr>
                <w:p w14:paraId="62F0B4F8" w14:textId="77777777" w:rsidR="00586067" w:rsidRPr="00CB35F3" w:rsidRDefault="00586067" w:rsidP="00B23B4A">
                  <w:pPr>
                    <w:framePr w:hSpace="141" w:wrap="around" w:vAnchor="text" w:hAnchor="text" w:xAlign="center" w:y="1"/>
                    <w:suppressOverlap/>
                    <w:rPr>
                      <w:b/>
                      <w:bCs/>
                    </w:rPr>
                  </w:pPr>
                  <w:r w:rsidRPr="00CB35F3">
                    <w:rPr>
                      <w:b/>
                      <w:bCs/>
                    </w:rPr>
                    <w:t>7,98%</w:t>
                  </w:r>
                </w:p>
              </w:tc>
            </w:tr>
          </w:tbl>
          <w:p w14:paraId="19A64260" w14:textId="77777777" w:rsidR="00586067" w:rsidRPr="00CB35F3" w:rsidRDefault="00586067" w:rsidP="00B23B4A">
            <w:pPr>
              <w:rPr>
                <w:b/>
                <w:bCs/>
              </w:rPr>
            </w:pPr>
          </w:p>
        </w:tc>
      </w:tr>
    </w:tbl>
    <w:p w14:paraId="1DC8ECB5" w14:textId="77777777" w:rsidR="00586067" w:rsidRPr="00CB35F3" w:rsidRDefault="00586067" w:rsidP="00586067">
      <w:pPr>
        <w:rPr>
          <w:b/>
          <w:bCs/>
        </w:rPr>
      </w:pPr>
      <w:r>
        <w:rPr>
          <w:b/>
          <w:bCs/>
        </w:rPr>
        <w:lastRenderedPageBreak/>
        <w:br w:type="textWrapping" w:clear="all"/>
      </w:r>
    </w:p>
    <w:p w14:paraId="402DAB8E" w14:textId="77777777" w:rsidR="00586067" w:rsidRDefault="00586067" w:rsidP="00586067">
      <w:pPr>
        <w:jc w:val="center"/>
        <w:rPr>
          <w:rFonts w:ascii="Microsoft Sans Serif" w:eastAsia="Microsoft Sans Serif" w:hAnsi="Microsoft Sans Serif" w:cs="Microsoft Sans Serif"/>
          <w:sz w:val="28"/>
          <w:szCs w:val="28"/>
        </w:rPr>
      </w:pPr>
      <w:r>
        <w:rPr>
          <w:noProof/>
        </w:rPr>
        <w:drawing>
          <wp:inline distT="0" distB="0" distL="0" distR="0" wp14:anchorId="2DB53E13" wp14:editId="1D1B348C">
            <wp:extent cx="5501640" cy="4411980"/>
            <wp:effectExtent l="0" t="0" r="3810" b="7620"/>
            <wp:docPr id="1422850325" name="Gra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3084FC59" w14:textId="77777777" w:rsidR="00586067" w:rsidRDefault="00586067" w:rsidP="00293518">
      <w:pPr>
        <w:rPr>
          <w:rFonts w:ascii="Microsoft Sans Serif" w:hAnsi="Microsoft Sans Serif" w:cs="Microsoft Sans Serif"/>
          <w:b/>
          <w:bCs/>
        </w:rPr>
      </w:pPr>
    </w:p>
    <w:p w14:paraId="78D1AD42" w14:textId="77777777" w:rsidR="00586067" w:rsidRDefault="00586067" w:rsidP="00586067">
      <w:pPr>
        <w:jc w:val="center"/>
        <w:rPr>
          <w:rFonts w:ascii="Microsoft Sans Serif" w:hAnsi="Microsoft Sans Serif" w:cs="Microsoft Sans Serif"/>
          <w:b/>
          <w:bCs/>
        </w:rPr>
      </w:pPr>
    </w:p>
    <w:p w14:paraId="5D907461" w14:textId="77777777" w:rsidR="004137ED" w:rsidRDefault="004137ED" w:rsidP="00586067">
      <w:pPr>
        <w:jc w:val="center"/>
        <w:rPr>
          <w:rFonts w:ascii="Microsoft Sans Serif" w:hAnsi="Microsoft Sans Serif" w:cs="Microsoft Sans Serif"/>
          <w:b/>
          <w:bCs/>
        </w:rPr>
      </w:pPr>
    </w:p>
    <w:p w14:paraId="2FBD99AB" w14:textId="77777777" w:rsidR="004137ED" w:rsidRDefault="004137ED" w:rsidP="00586067">
      <w:pPr>
        <w:jc w:val="center"/>
        <w:rPr>
          <w:rFonts w:ascii="Microsoft Sans Serif" w:hAnsi="Microsoft Sans Serif" w:cs="Microsoft Sans Serif"/>
          <w:b/>
          <w:bCs/>
        </w:rPr>
      </w:pPr>
    </w:p>
    <w:p w14:paraId="483384B9" w14:textId="77777777" w:rsidR="004137ED" w:rsidRDefault="004137ED" w:rsidP="00586067">
      <w:pPr>
        <w:jc w:val="center"/>
        <w:rPr>
          <w:rFonts w:ascii="Microsoft Sans Serif" w:hAnsi="Microsoft Sans Serif" w:cs="Microsoft Sans Serif"/>
          <w:b/>
          <w:bCs/>
        </w:rPr>
      </w:pPr>
    </w:p>
    <w:p w14:paraId="3547F4BA" w14:textId="77777777" w:rsidR="004137ED" w:rsidRDefault="004137ED" w:rsidP="00586067">
      <w:pPr>
        <w:jc w:val="center"/>
        <w:rPr>
          <w:rFonts w:ascii="Microsoft Sans Serif" w:hAnsi="Microsoft Sans Serif" w:cs="Microsoft Sans Serif"/>
          <w:b/>
          <w:bCs/>
        </w:rPr>
      </w:pPr>
    </w:p>
    <w:p w14:paraId="05B84E8B" w14:textId="77777777" w:rsidR="004137ED" w:rsidRDefault="004137ED" w:rsidP="00586067">
      <w:pPr>
        <w:jc w:val="center"/>
        <w:rPr>
          <w:rFonts w:ascii="Microsoft Sans Serif" w:hAnsi="Microsoft Sans Serif" w:cs="Microsoft Sans Serif"/>
          <w:b/>
          <w:bCs/>
        </w:rPr>
      </w:pPr>
    </w:p>
    <w:p w14:paraId="325C23A1" w14:textId="77777777" w:rsidR="004137ED" w:rsidRDefault="004137ED" w:rsidP="00586067">
      <w:pPr>
        <w:jc w:val="center"/>
        <w:rPr>
          <w:rFonts w:ascii="Microsoft Sans Serif" w:hAnsi="Microsoft Sans Serif" w:cs="Microsoft Sans Serif"/>
          <w:b/>
          <w:bCs/>
        </w:rPr>
      </w:pPr>
    </w:p>
    <w:p w14:paraId="789F2EE6" w14:textId="77777777" w:rsidR="00E827B2" w:rsidRDefault="00E827B2" w:rsidP="00586067">
      <w:pPr>
        <w:jc w:val="center"/>
        <w:rPr>
          <w:rFonts w:ascii="Microsoft Sans Serif" w:hAnsi="Microsoft Sans Serif" w:cs="Microsoft Sans Serif"/>
          <w:b/>
          <w:bCs/>
        </w:rPr>
      </w:pPr>
    </w:p>
    <w:p w14:paraId="40AF9A9A" w14:textId="55ED70D1" w:rsidR="00117BDA" w:rsidRPr="00117BDA" w:rsidRDefault="004137ED" w:rsidP="00117BDA">
      <w:pPr>
        <w:jc w:val="center"/>
        <w:rPr>
          <w:rFonts w:ascii="Microsoft Sans Serif" w:hAnsi="Microsoft Sans Serif" w:cs="Microsoft Sans Serif"/>
          <w:b/>
          <w:bCs/>
        </w:rPr>
      </w:pPr>
      <w:r>
        <w:rPr>
          <w:rFonts w:ascii="Microsoft Sans Serif" w:hAnsi="Microsoft Sans Serif" w:cs="Microsoft Sans Serif"/>
          <w:b/>
          <w:bCs/>
        </w:rPr>
        <w:lastRenderedPageBreak/>
        <w:t>Numero a</w:t>
      </w:r>
      <w:r w:rsidR="00586067" w:rsidRPr="0086717B">
        <w:rPr>
          <w:rFonts w:ascii="Microsoft Sans Serif" w:hAnsi="Microsoft Sans Serif" w:cs="Microsoft Sans Serif"/>
          <w:b/>
          <w:bCs/>
        </w:rPr>
        <w:t xml:space="preserve">lunni </w:t>
      </w:r>
      <w:r w:rsidR="00293518">
        <w:rPr>
          <w:rFonts w:ascii="Microsoft Sans Serif" w:hAnsi="Microsoft Sans Serif" w:cs="Microsoft Sans Serif"/>
          <w:b/>
          <w:bCs/>
        </w:rPr>
        <w:t xml:space="preserve">iscritti alle scuole dell’infanzia e alle scuole primarie di Lissone nell’ultimo </w:t>
      </w:r>
      <w:r w:rsidR="00734D85">
        <w:rPr>
          <w:rFonts w:ascii="Microsoft Sans Serif" w:hAnsi="Microsoft Sans Serif" w:cs="Microsoft Sans Serif"/>
          <w:b/>
          <w:bCs/>
        </w:rPr>
        <w:t>quinquennio</w:t>
      </w:r>
    </w:p>
    <w:tbl>
      <w:tblPr>
        <w:tblStyle w:val="Grigliatabella1"/>
        <w:tblW w:w="0" w:type="auto"/>
        <w:jc w:val="center"/>
        <w:tblInd w:w="0" w:type="dxa"/>
        <w:tblLook w:val="04A0" w:firstRow="1" w:lastRow="0" w:firstColumn="1" w:lastColumn="0" w:noHBand="0" w:noVBand="1"/>
      </w:tblPr>
      <w:tblGrid>
        <w:gridCol w:w="1908"/>
        <w:gridCol w:w="1544"/>
        <w:gridCol w:w="1544"/>
        <w:gridCol w:w="1544"/>
        <w:gridCol w:w="1544"/>
        <w:gridCol w:w="1544"/>
      </w:tblGrid>
      <w:tr w:rsidR="00586067" w:rsidRPr="0086717B" w14:paraId="6009ECAD" w14:textId="77777777" w:rsidTr="00734D85">
        <w:trPr>
          <w:jc w:val="center"/>
        </w:trPr>
        <w:tc>
          <w:tcPr>
            <w:tcW w:w="1908" w:type="dxa"/>
            <w:shd w:val="clear" w:color="auto" w:fill="BFBFBF" w:themeFill="background1" w:themeFillShade="BF"/>
          </w:tcPr>
          <w:p w14:paraId="253CCFFB" w14:textId="77777777" w:rsidR="00586067" w:rsidRPr="0086717B" w:rsidRDefault="00586067" w:rsidP="00B23B4A">
            <w:pPr>
              <w:jc w:val="center"/>
              <w:rPr>
                <w:b/>
                <w:bCs/>
              </w:rPr>
            </w:pPr>
          </w:p>
          <w:p w14:paraId="2903A215" w14:textId="77777777" w:rsidR="00586067" w:rsidRPr="0086717B" w:rsidRDefault="00586067" w:rsidP="00B23B4A">
            <w:pPr>
              <w:jc w:val="center"/>
              <w:rPr>
                <w:b/>
                <w:bCs/>
              </w:rPr>
            </w:pPr>
            <w:r w:rsidRPr="0086717B">
              <w:rPr>
                <w:b/>
                <w:bCs/>
              </w:rPr>
              <w:t>Scuole</w:t>
            </w:r>
          </w:p>
          <w:p w14:paraId="0B6DC790" w14:textId="77777777" w:rsidR="00586067" w:rsidRPr="0086717B" w:rsidRDefault="00586067" w:rsidP="00B23B4A">
            <w:pPr>
              <w:jc w:val="center"/>
              <w:rPr>
                <w:b/>
                <w:bCs/>
              </w:rPr>
            </w:pPr>
          </w:p>
        </w:tc>
        <w:tc>
          <w:tcPr>
            <w:tcW w:w="1544" w:type="dxa"/>
            <w:shd w:val="clear" w:color="auto" w:fill="BFBFBF" w:themeFill="background1" w:themeFillShade="BF"/>
          </w:tcPr>
          <w:p w14:paraId="0D8DA12E" w14:textId="77777777" w:rsidR="00586067" w:rsidRPr="0086717B" w:rsidRDefault="00586067" w:rsidP="00B23B4A">
            <w:pPr>
              <w:jc w:val="center"/>
              <w:rPr>
                <w:b/>
                <w:bCs/>
              </w:rPr>
            </w:pPr>
          </w:p>
          <w:p w14:paraId="0D6D083A" w14:textId="77777777" w:rsidR="00586067" w:rsidRPr="0086717B" w:rsidRDefault="00586067" w:rsidP="00B23B4A">
            <w:pPr>
              <w:jc w:val="center"/>
              <w:rPr>
                <w:b/>
                <w:bCs/>
              </w:rPr>
            </w:pPr>
            <w:proofErr w:type="spellStart"/>
            <w:r w:rsidRPr="0086717B">
              <w:rPr>
                <w:b/>
                <w:bCs/>
              </w:rPr>
              <w:t>a.s.</w:t>
            </w:r>
            <w:proofErr w:type="spellEnd"/>
            <w:r w:rsidRPr="0086717B">
              <w:rPr>
                <w:b/>
                <w:bCs/>
              </w:rPr>
              <w:t xml:space="preserve"> 2021/2022</w:t>
            </w:r>
          </w:p>
        </w:tc>
        <w:tc>
          <w:tcPr>
            <w:tcW w:w="1544" w:type="dxa"/>
            <w:shd w:val="clear" w:color="auto" w:fill="BFBFBF" w:themeFill="background1" w:themeFillShade="BF"/>
          </w:tcPr>
          <w:p w14:paraId="2AE15A7C" w14:textId="77777777" w:rsidR="00586067" w:rsidRPr="0086717B" w:rsidRDefault="00586067" w:rsidP="00B23B4A">
            <w:pPr>
              <w:jc w:val="center"/>
              <w:rPr>
                <w:b/>
                <w:bCs/>
              </w:rPr>
            </w:pPr>
          </w:p>
          <w:p w14:paraId="2259107B" w14:textId="77777777" w:rsidR="00586067" w:rsidRPr="0086717B" w:rsidRDefault="00586067" w:rsidP="00B23B4A">
            <w:pPr>
              <w:jc w:val="center"/>
              <w:rPr>
                <w:b/>
                <w:bCs/>
              </w:rPr>
            </w:pPr>
            <w:proofErr w:type="spellStart"/>
            <w:r w:rsidRPr="0086717B">
              <w:rPr>
                <w:b/>
                <w:bCs/>
              </w:rPr>
              <w:t>a.s.</w:t>
            </w:r>
            <w:proofErr w:type="spellEnd"/>
            <w:r w:rsidRPr="0086717B">
              <w:rPr>
                <w:b/>
                <w:bCs/>
              </w:rPr>
              <w:t xml:space="preserve"> 2022/2023</w:t>
            </w:r>
          </w:p>
          <w:p w14:paraId="4DD9F275" w14:textId="77777777" w:rsidR="00586067" w:rsidRPr="0086717B" w:rsidRDefault="00586067" w:rsidP="00B23B4A">
            <w:pPr>
              <w:jc w:val="center"/>
              <w:rPr>
                <w:b/>
                <w:bCs/>
              </w:rPr>
            </w:pPr>
          </w:p>
        </w:tc>
        <w:tc>
          <w:tcPr>
            <w:tcW w:w="1544" w:type="dxa"/>
            <w:shd w:val="clear" w:color="auto" w:fill="BFBFBF" w:themeFill="background1" w:themeFillShade="BF"/>
          </w:tcPr>
          <w:p w14:paraId="3D37600D" w14:textId="77777777" w:rsidR="00586067" w:rsidRPr="0086717B" w:rsidRDefault="00586067" w:rsidP="00B23B4A">
            <w:pPr>
              <w:jc w:val="center"/>
              <w:rPr>
                <w:b/>
                <w:bCs/>
              </w:rPr>
            </w:pPr>
          </w:p>
          <w:p w14:paraId="106C9BA2" w14:textId="77777777" w:rsidR="00586067" w:rsidRPr="0086717B" w:rsidRDefault="00586067" w:rsidP="00B23B4A">
            <w:pPr>
              <w:jc w:val="center"/>
              <w:rPr>
                <w:b/>
                <w:bCs/>
              </w:rPr>
            </w:pPr>
            <w:proofErr w:type="spellStart"/>
            <w:r w:rsidRPr="0086717B">
              <w:rPr>
                <w:b/>
                <w:bCs/>
              </w:rPr>
              <w:t>a.s.</w:t>
            </w:r>
            <w:proofErr w:type="spellEnd"/>
            <w:r w:rsidRPr="0086717B">
              <w:rPr>
                <w:b/>
                <w:bCs/>
              </w:rPr>
              <w:t xml:space="preserve"> 2023/2024</w:t>
            </w:r>
          </w:p>
          <w:p w14:paraId="319B3F37" w14:textId="77777777" w:rsidR="00586067" w:rsidRPr="0086717B" w:rsidRDefault="00586067" w:rsidP="00B23B4A"/>
        </w:tc>
        <w:tc>
          <w:tcPr>
            <w:tcW w:w="1544" w:type="dxa"/>
            <w:shd w:val="clear" w:color="auto" w:fill="BFBFBF" w:themeFill="background1" w:themeFillShade="BF"/>
          </w:tcPr>
          <w:p w14:paraId="2BD4DEA6" w14:textId="77777777" w:rsidR="00586067" w:rsidRDefault="00586067" w:rsidP="00B23B4A">
            <w:pPr>
              <w:jc w:val="center"/>
              <w:rPr>
                <w:b/>
                <w:bCs/>
              </w:rPr>
            </w:pPr>
          </w:p>
          <w:p w14:paraId="206E4C97" w14:textId="77777777" w:rsidR="00586067" w:rsidRPr="0086717B" w:rsidRDefault="00586067" w:rsidP="00B23B4A">
            <w:pPr>
              <w:jc w:val="center"/>
              <w:rPr>
                <w:b/>
                <w:bCs/>
              </w:rPr>
            </w:pPr>
            <w:proofErr w:type="spellStart"/>
            <w:r w:rsidRPr="0086717B">
              <w:rPr>
                <w:b/>
                <w:bCs/>
              </w:rPr>
              <w:t>a.s.</w:t>
            </w:r>
            <w:proofErr w:type="spellEnd"/>
            <w:r w:rsidRPr="0086717B">
              <w:rPr>
                <w:b/>
                <w:bCs/>
              </w:rPr>
              <w:t xml:space="preserve"> 202</w:t>
            </w:r>
            <w:r>
              <w:rPr>
                <w:b/>
                <w:bCs/>
              </w:rPr>
              <w:t>4</w:t>
            </w:r>
            <w:r w:rsidRPr="0086717B">
              <w:rPr>
                <w:b/>
                <w:bCs/>
              </w:rPr>
              <w:t>/202</w:t>
            </w:r>
            <w:r>
              <w:rPr>
                <w:b/>
                <w:bCs/>
              </w:rPr>
              <w:t>5</w:t>
            </w:r>
          </w:p>
          <w:p w14:paraId="427CFEDE" w14:textId="77777777" w:rsidR="00586067" w:rsidRPr="00DA28A2" w:rsidRDefault="00586067" w:rsidP="00B23B4A">
            <w:pPr>
              <w:jc w:val="center"/>
            </w:pPr>
          </w:p>
        </w:tc>
        <w:tc>
          <w:tcPr>
            <w:tcW w:w="1544" w:type="dxa"/>
            <w:shd w:val="clear" w:color="auto" w:fill="BFBFBF" w:themeFill="background1" w:themeFillShade="BF"/>
          </w:tcPr>
          <w:p w14:paraId="504A6576" w14:textId="77777777" w:rsidR="00586067" w:rsidRDefault="00586067" w:rsidP="00B23B4A">
            <w:pPr>
              <w:jc w:val="center"/>
              <w:rPr>
                <w:b/>
                <w:bCs/>
              </w:rPr>
            </w:pPr>
          </w:p>
          <w:p w14:paraId="51233F66" w14:textId="77777777" w:rsidR="00586067" w:rsidRPr="0086717B" w:rsidRDefault="00586067" w:rsidP="00B23B4A">
            <w:pPr>
              <w:jc w:val="center"/>
              <w:rPr>
                <w:b/>
                <w:bCs/>
              </w:rPr>
            </w:pPr>
            <w:proofErr w:type="spellStart"/>
            <w:r w:rsidRPr="0086717B">
              <w:rPr>
                <w:b/>
                <w:bCs/>
              </w:rPr>
              <w:t>a.</w:t>
            </w:r>
            <w:r w:rsidRPr="00734D85">
              <w:rPr>
                <w:b/>
                <w:bCs/>
              </w:rPr>
              <w:t>s.</w:t>
            </w:r>
            <w:proofErr w:type="spellEnd"/>
            <w:r w:rsidRPr="00734D85">
              <w:rPr>
                <w:b/>
                <w:bCs/>
              </w:rPr>
              <w:t xml:space="preserve"> 2025/2026</w:t>
            </w:r>
          </w:p>
          <w:p w14:paraId="50441C99" w14:textId="77777777" w:rsidR="00586067" w:rsidRDefault="00586067" w:rsidP="00B23B4A">
            <w:pPr>
              <w:jc w:val="center"/>
              <w:rPr>
                <w:b/>
                <w:bCs/>
              </w:rPr>
            </w:pPr>
          </w:p>
        </w:tc>
      </w:tr>
      <w:tr w:rsidR="00293518" w:rsidRPr="0086717B" w14:paraId="28792BDF" w14:textId="77777777" w:rsidTr="00B23B4A">
        <w:trPr>
          <w:jc w:val="center"/>
        </w:trPr>
        <w:tc>
          <w:tcPr>
            <w:tcW w:w="1908" w:type="dxa"/>
          </w:tcPr>
          <w:p w14:paraId="0E90C887" w14:textId="1B672143" w:rsidR="00293518" w:rsidRPr="00117BDA" w:rsidRDefault="00293518" w:rsidP="00B23B4A">
            <w:r w:rsidRPr="00117BDA">
              <w:t>Infanzia statali</w:t>
            </w:r>
          </w:p>
        </w:tc>
        <w:tc>
          <w:tcPr>
            <w:tcW w:w="1544" w:type="dxa"/>
          </w:tcPr>
          <w:p w14:paraId="636992D8" w14:textId="1BA95A7C" w:rsidR="00293518" w:rsidRPr="0086717B" w:rsidRDefault="009277D7" w:rsidP="00B23B4A">
            <w:pPr>
              <w:jc w:val="center"/>
            </w:pPr>
            <w:r>
              <w:t>670</w:t>
            </w:r>
          </w:p>
        </w:tc>
        <w:tc>
          <w:tcPr>
            <w:tcW w:w="1544" w:type="dxa"/>
          </w:tcPr>
          <w:p w14:paraId="64336453" w14:textId="1C6B6810" w:rsidR="00293518" w:rsidRPr="0086717B" w:rsidRDefault="00DB4973" w:rsidP="00B23B4A">
            <w:pPr>
              <w:jc w:val="center"/>
            </w:pPr>
            <w:r>
              <w:t>658</w:t>
            </w:r>
          </w:p>
        </w:tc>
        <w:tc>
          <w:tcPr>
            <w:tcW w:w="1544" w:type="dxa"/>
          </w:tcPr>
          <w:p w14:paraId="229CA7A9" w14:textId="0B4B3E29" w:rsidR="00293518" w:rsidRPr="0086717B" w:rsidRDefault="00DB4973" w:rsidP="00B23B4A">
            <w:pPr>
              <w:jc w:val="center"/>
            </w:pPr>
            <w:r>
              <w:t>646</w:t>
            </w:r>
          </w:p>
        </w:tc>
        <w:tc>
          <w:tcPr>
            <w:tcW w:w="1544" w:type="dxa"/>
          </w:tcPr>
          <w:p w14:paraId="6ED8BA42" w14:textId="45FB2C11" w:rsidR="00293518" w:rsidRDefault="009B6F47" w:rsidP="00B23B4A">
            <w:pPr>
              <w:jc w:val="center"/>
            </w:pPr>
            <w:r>
              <w:t>603</w:t>
            </w:r>
          </w:p>
        </w:tc>
        <w:tc>
          <w:tcPr>
            <w:tcW w:w="1544" w:type="dxa"/>
          </w:tcPr>
          <w:p w14:paraId="0B6E7B34" w14:textId="107C11D5" w:rsidR="00293518" w:rsidRDefault="009B6F47" w:rsidP="00B23B4A">
            <w:pPr>
              <w:jc w:val="center"/>
            </w:pPr>
            <w:r>
              <w:t>591</w:t>
            </w:r>
          </w:p>
        </w:tc>
      </w:tr>
      <w:tr w:rsidR="00293518" w:rsidRPr="0086717B" w14:paraId="0ADAA7B4" w14:textId="77777777" w:rsidTr="00B23B4A">
        <w:trPr>
          <w:jc w:val="center"/>
        </w:trPr>
        <w:tc>
          <w:tcPr>
            <w:tcW w:w="1908" w:type="dxa"/>
          </w:tcPr>
          <w:p w14:paraId="286E3FA9" w14:textId="19CF9A3D" w:rsidR="00293518" w:rsidRPr="00117BDA" w:rsidRDefault="00293518" w:rsidP="00B23B4A">
            <w:r w:rsidRPr="00117BDA">
              <w:t>Infanzia paritarie</w:t>
            </w:r>
          </w:p>
        </w:tc>
        <w:tc>
          <w:tcPr>
            <w:tcW w:w="1544" w:type="dxa"/>
          </w:tcPr>
          <w:p w14:paraId="288CF4E3" w14:textId="0C78C9A8" w:rsidR="00293518" w:rsidRPr="0086717B" w:rsidRDefault="009277D7" w:rsidP="00B23B4A">
            <w:pPr>
              <w:jc w:val="center"/>
            </w:pPr>
            <w:r>
              <w:t>539</w:t>
            </w:r>
          </w:p>
        </w:tc>
        <w:tc>
          <w:tcPr>
            <w:tcW w:w="1544" w:type="dxa"/>
          </w:tcPr>
          <w:p w14:paraId="429B6EAC" w14:textId="458319CD" w:rsidR="00293518" w:rsidRPr="0086717B" w:rsidRDefault="00DB4973" w:rsidP="00B23B4A">
            <w:pPr>
              <w:jc w:val="center"/>
            </w:pPr>
            <w:r>
              <w:t>505</w:t>
            </w:r>
          </w:p>
        </w:tc>
        <w:tc>
          <w:tcPr>
            <w:tcW w:w="1544" w:type="dxa"/>
          </w:tcPr>
          <w:p w14:paraId="5FF19DE4" w14:textId="699EFE35" w:rsidR="00293518" w:rsidRPr="0086717B" w:rsidRDefault="00DB4973" w:rsidP="00B23B4A">
            <w:pPr>
              <w:jc w:val="center"/>
            </w:pPr>
            <w:r>
              <w:t>431</w:t>
            </w:r>
          </w:p>
        </w:tc>
        <w:tc>
          <w:tcPr>
            <w:tcW w:w="1544" w:type="dxa"/>
          </w:tcPr>
          <w:p w14:paraId="534312C3" w14:textId="219049BE" w:rsidR="00293518" w:rsidRDefault="009B6F47" w:rsidP="00B23B4A">
            <w:pPr>
              <w:jc w:val="center"/>
            </w:pPr>
            <w:r>
              <w:t>401</w:t>
            </w:r>
          </w:p>
        </w:tc>
        <w:tc>
          <w:tcPr>
            <w:tcW w:w="1544" w:type="dxa"/>
          </w:tcPr>
          <w:p w14:paraId="4F33A200" w14:textId="6D31BCDB" w:rsidR="00293518" w:rsidRDefault="009B6F47" w:rsidP="00B23B4A">
            <w:pPr>
              <w:jc w:val="center"/>
            </w:pPr>
            <w:r>
              <w:t>397</w:t>
            </w:r>
          </w:p>
        </w:tc>
      </w:tr>
      <w:tr w:rsidR="00586067" w:rsidRPr="0086717B" w14:paraId="1442BE36" w14:textId="77777777" w:rsidTr="00B23B4A">
        <w:trPr>
          <w:jc w:val="center"/>
        </w:trPr>
        <w:tc>
          <w:tcPr>
            <w:tcW w:w="1908" w:type="dxa"/>
          </w:tcPr>
          <w:p w14:paraId="77C9938B" w14:textId="77777777" w:rsidR="00586067" w:rsidRPr="0086717B" w:rsidRDefault="00586067" w:rsidP="00B23B4A">
            <w:r w:rsidRPr="0086717B">
              <w:t>Primarie statali</w:t>
            </w:r>
          </w:p>
          <w:p w14:paraId="0B2E2E84" w14:textId="77777777" w:rsidR="00586067" w:rsidRPr="0086717B" w:rsidRDefault="00586067" w:rsidP="00B23B4A"/>
        </w:tc>
        <w:tc>
          <w:tcPr>
            <w:tcW w:w="1544" w:type="dxa"/>
            <w:hideMark/>
          </w:tcPr>
          <w:p w14:paraId="05BB2A8A" w14:textId="77777777" w:rsidR="00586067" w:rsidRPr="0086717B" w:rsidRDefault="00586067" w:rsidP="00B23B4A">
            <w:pPr>
              <w:jc w:val="center"/>
            </w:pPr>
            <w:r w:rsidRPr="0086717B">
              <w:t>1.939</w:t>
            </w:r>
          </w:p>
        </w:tc>
        <w:tc>
          <w:tcPr>
            <w:tcW w:w="1544" w:type="dxa"/>
            <w:hideMark/>
          </w:tcPr>
          <w:p w14:paraId="785BA687" w14:textId="77777777" w:rsidR="00586067" w:rsidRPr="0086717B" w:rsidRDefault="00586067" w:rsidP="00B23B4A">
            <w:pPr>
              <w:jc w:val="center"/>
            </w:pPr>
            <w:r w:rsidRPr="0086717B">
              <w:t>1.906</w:t>
            </w:r>
          </w:p>
        </w:tc>
        <w:tc>
          <w:tcPr>
            <w:tcW w:w="1544" w:type="dxa"/>
            <w:hideMark/>
          </w:tcPr>
          <w:p w14:paraId="6F10844C" w14:textId="77777777" w:rsidR="00586067" w:rsidRPr="0086717B" w:rsidRDefault="00586067" w:rsidP="00B23B4A">
            <w:pPr>
              <w:jc w:val="center"/>
            </w:pPr>
            <w:r w:rsidRPr="0086717B">
              <w:t>1915</w:t>
            </w:r>
          </w:p>
        </w:tc>
        <w:tc>
          <w:tcPr>
            <w:tcW w:w="1544" w:type="dxa"/>
          </w:tcPr>
          <w:p w14:paraId="67B0502B" w14:textId="77777777" w:rsidR="00586067" w:rsidRPr="0086717B" w:rsidRDefault="00586067" w:rsidP="00B23B4A">
            <w:pPr>
              <w:jc w:val="center"/>
            </w:pPr>
            <w:r>
              <w:t>1844</w:t>
            </w:r>
          </w:p>
        </w:tc>
        <w:tc>
          <w:tcPr>
            <w:tcW w:w="1544" w:type="dxa"/>
          </w:tcPr>
          <w:p w14:paraId="7200657F" w14:textId="77777777" w:rsidR="00586067" w:rsidRDefault="00586067" w:rsidP="00B23B4A">
            <w:pPr>
              <w:jc w:val="center"/>
            </w:pPr>
            <w:r>
              <w:t>1823</w:t>
            </w:r>
          </w:p>
        </w:tc>
      </w:tr>
    </w:tbl>
    <w:p w14:paraId="0BD5702A" w14:textId="4DC9662B" w:rsidR="00D85714" w:rsidRPr="004137ED" w:rsidRDefault="00D85714" w:rsidP="004137ED">
      <w:pPr>
        <w:spacing w:after="160" w:line="259" w:lineRule="auto"/>
        <w:rPr>
          <w:rFonts w:ascii="Microsoft Sans Serif" w:hAnsi="Microsoft Sans Serif" w:cs="Microsoft Sans Serif"/>
          <w:b/>
          <w:bCs/>
        </w:rPr>
      </w:pPr>
    </w:p>
    <w:p w14:paraId="163CBEC5" w14:textId="1B40C012" w:rsidR="00D85714" w:rsidRPr="004137ED" w:rsidRDefault="000C1ED3" w:rsidP="004137ED">
      <w:pPr>
        <w:jc w:val="both"/>
        <w:rPr>
          <w:rFonts w:ascii="Times New Roman" w:hAnsi="Times New Roman" w:cs="Times New Roman"/>
          <w:b/>
          <w:sz w:val="24"/>
          <w:szCs w:val="24"/>
          <w:lang w:eastAsia="ar-SA"/>
        </w:rPr>
      </w:pPr>
      <w:r w:rsidRPr="004137ED">
        <w:rPr>
          <w:rFonts w:ascii="Times New Roman" w:hAnsi="Times New Roman" w:cs="Times New Roman"/>
          <w:b/>
          <w:sz w:val="24"/>
          <w:szCs w:val="24"/>
          <w:lang w:eastAsia="ar-SA"/>
        </w:rPr>
        <w:t>DESCRIZIONE ORGANIZZAZIONE DEI SERVIZI OGGETTO DELL’APPALTO</w:t>
      </w:r>
      <w:r w:rsidR="00D85714" w:rsidRPr="004137ED">
        <w:rPr>
          <w:rFonts w:ascii="Times New Roman" w:hAnsi="Times New Roman" w:cs="Times New Roman"/>
          <w:b/>
          <w:sz w:val="24"/>
          <w:szCs w:val="24"/>
          <w:lang w:eastAsia="ar-SA"/>
        </w:rPr>
        <w:t>.</w:t>
      </w:r>
    </w:p>
    <w:p w14:paraId="6FAF5792" w14:textId="00067FA2" w:rsidR="00395BE4" w:rsidRPr="009B22EC" w:rsidRDefault="00395BE4" w:rsidP="00395BE4">
      <w:pPr>
        <w:spacing w:line="240" w:lineRule="auto"/>
        <w:jc w:val="both"/>
        <w:rPr>
          <w:rFonts w:ascii="Times New Roman" w:eastAsia="SimSun" w:hAnsi="Times New Roman" w:cs="Arial"/>
          <w:kern w:val="3"/>
          <w:lang w:eastAsia="zh-CN" w:bidi="hi-IN"/>
        </w:rPr>
      </w:pPr>
      <w:r w:rsidRPr="009B22EC">
        <w:rPr>
          <w:rFonts w:ascii="Times New Roman" w:eastAsia="SimSun" w:hAnsi="Times New Roman" w:cs="Arial"/>
          <w:kern w:val="3"/>
          <w:lang w:eastAsia="zh-CN" w:bidi="hi-IN"/>
        </w:rPr>
        <w:t>L’appalto ha per oggetto l’organizzazione e la gestione dei due Centri Ricreativi Estivi (CRE) comunali diurni, un servizio educativo, ludico, sportivo e culturale ispirato ai valori dell’inclusione, del benessere e della crescita personale, rivolto ai bambini dai 3 ai 6 anni e ai bambini frequentanti le scuole primarie.</w:t>
      </w:r>
    </w:p>
    <w:p w14:paraId="669E035F" w14:textId="77777777" w:rsidR="00395BE4" w:rsidRPr="009B22EC" w:rsidRDefault="00395BE4" w:rsidP="00395BE4">
      <w:pPr>
        <w:spacing w:line="240" w:lineRule="auto"/>
        <w:jc w:val="both"/>
        <w:rPr>
          <w:rFonts w:ascii="Times New Roman" w:eastAsia="SimSun" w:hAnsi="Times New Roman" w:cs="Arial"/>
          <w:kern w:val="3"/>
          <w:lang w:eastAsia="zh-CN" w:bidi="hi-IN"/>
        </w:rPr>
      </w:pPr>
    </w:p>
    <w:p w14:paraId="70FB21AD" w14:textId="54ECC2B8" w:rsidR="00395BE4" w:rsidRPr="009B22EC" w:rsidRDefault="00395BE4" w:rsidP="00395BE4">
      <w:pPr>
        <w:pStyle w:val="Standard"/>
        <w:jc w:val="both"/>
        <w:rPr>
          <w:sz w:val="22"/>
          <w:szCs w:val="22"/>
        </w:rPr>
      </w:pPr>
      <w:r w:rsidRPr="009B22EC">
        <w:rPr>
          <w:sz w:val="22"/>
          <w:szCs w:val="22"/>
        </w:rPr>
        <w:t>Il servizio dei Centri Ricreativi Estivi</w:t>
      </w:r>
      <w:r w:rsidR="007B3923" w:rsidRPr="009B22EC">
        <w:rPr>
          <w:sz w:val="22"/>
          <w:szCs w:val="22"/>
        </w:rPr>
        <w:t xml:space="preserve"> - realizzato in due plessi scolastici (una scuola dell’infanzia e una scuola primaria) -</w:t>
      </w:r>
      <w:r w:rsidRPr="009B22EC">
        <w:rPr>
          <w:sz w:val="22"/>
          <w:szCs w:val="22"/>
        </w:rPr>
        <w:t xml:space="preserve"> è erogato dall’Amministrazione Comunale di Lissone dal 1982, affidandone la gestione a soggetti esterni tramite gare d’appalto.</w:t>
      </w:r>
    </w:p>
    <w:p w14:paraId="34BF7A5F" w14:textId="77777777" w:rsidR="00395BE4" w:rsidRPr="009B22EC" w:rsidRDefault="00395BE4" w:rsidP="00395BE4">
      <w:pPr>
        <w:spacing w:line="240" w:lineRule="auto"/>
        <w:jc w:val="both"/>
        <w:rPr>
          <w:rFonts w:ascii="Times New Roman" w:eastAsia="SimSun" w:hAnsi="Times New Roman" w:cs="Arial"/>
          <w:kern w:val="3"/>
          <w:lang w:eastAsia="zh-CN" w:bidi="hi-IN"/>
        </w:rPr>
      </w:pPr>
    </w:p>
    <w:p w14:paraId="30C64B94" w14:textId="77777777" w:rsidR="00395BE4" w:rsidRPr="009B22EC" w:rsidRDefault="00395BE4" w:rsidP="00395BE4">
      <w:pPr>
        <w:spacing w:line="240" w:lineRule="auto"/>
        <w:jc w:val="both"/>
        <w:rPr>
          <w:rFonts w:ascii="Times New Roman" w:eastAsia="SimSun" w:hAnsi="Times New Roman" w:cs="Arial"/>
          <w:kern w:val="3"/>
          <w:lang w:eastAsia="zh-CN" w:bidi="hi-IN"/>
        </w:rPr>
      </w:pPr>
      <w:r w:rsidRPr="009B22EC">
        <w:rPr>
          <w:rFonts w:ascii="Times New Roman" w:eastAsia="SimSun" w:hAnsi="Times New Roman" w:cs="Arial"/>
          <w:kern w:val="3"/>
          <w:lang w:eastAsia="zh-CN" w:bidi="hi-IN"/>
        </w:rPr>
        <w:t>Il servizio si pone i seguenti obiettivi: favorire la continuità educativa durante il periodo estivo; offrire occasioni di integrazione e socializzazione tra coetanei; garantire esperienze ludiche, sportive e culturali in un contesto sicuro; sostenere attività all’aria aperta, nel rispetto dell’ambiente; promuovere un sano stile di vita attraverso movimento e gioco; assicurare ambienti e attività strutturate in base all’età e ai bisogni;  offrire un servizio flessibile per rispondere alle esigenze delle famiglie durante i periodi di chiusura degli Istituti scolastici, favorendo la conciliazione dei tempi lavoro famiglia.</w:t>
      </w:r>
    </w:p>
    <w:p w14:paraId="091FB709" w14:textId="77777777" w:rsidR="003066BA" w:rsidRPr="009B22EC" w:rsidRDefault="003066BA" w:rsidP="00395BE4">
      <w:pPr>
        <w:pStyle w:val="Standard"/>
        <w:jc w:val="both"/>
        <w:rPr>
          <w:sz w:val="22"/>
          <w:szCs w:val="22"/>
        </w:rPr>
      </w:pPr>
    </w:p>
    <w:p w14:paraId="6FB7200F" w14:textId="77777777" w:rsidR="007B3923" w:rsidRPr="009B22EC" w:rsidRDefault="007B3923" w:rsidP="007B3923">
      <w:pPr>
        <w:jc w:val="both"/>
        <w:rPr>
          <w:rFonts w:ascii="Times New Roman" w:eastAsia="SimSun" w:hAnsi="Times New Roman" w:cs="Arial"/>
          <w:kern w:val="3"/>
          <w:lang w:eastAsia="zh-CN" w:bidi="hi-IN"/>
        </w:rPr>
      </w:pPr>
      <w:r w:rsidRPr="009B22EC">
        <w:rPr>
          <w:rFonts w:ascii="Times New Roman" w:eastAsia="SimSun" w:hAnsi="Times New Roman" w:cs="Arial"/>
          <w:kern w:val="3"/>
          <w:lang w:eastAsia="zh-CN" w:bidi="hi-IN"/>
        </w:rPr>
        <w:t>Il servizio dei CRE si svolge dal lunedì al venerdì, con orario giornaliero indicativamente dalle ore 09.00 alle ore 16.00 per il CRE infanzia e dalle ore 08.30 alle ore 16.30 per il CRE primaria.</w:t>
      </w:r>
    </w:p>
    <w:p w14:paraId="36FBC52C" w14:textId="77777777" w:rsidR="007B3923" w:rsidRPr="009B22EC" w:rsidRDefault="007B3923" w:rsidP="00395BE4">
      <w:pPr>
        <w:pStyle w:val="Standard"/>
        <w:jc w:val="both"/>
        <w:rPr>
          <w:sz w:val="22"/>
          <w:szCs w:val="22"/>
        </w:rPr>
      </w:pPr>
    </w:p>
    <w:p w14:paraId="20BD79A9" w14:textId="19F6DFA4" w:rsidR="00286455" w:rsidRPr="009B22EC" w:rsidRDefault="00395BE4" w:rsidP="00395BE4">
      <w:pPr>
        <w:pStyle w:val="Standard"/>
        <w:jc w:val="both"/>
        <w:rPr>
          <w:sz w:val="22"/>
          <w:szCs w:val="22"/>
        </w:rPr>
      </w:pPr>
      <w:r w:rsidRPr="009B22EC">
        <w:rPr>
          <w:sz w:val="22"/>
          <w:szCs w:val="22"/>
        </w:rPr>
        <w:t xml:space="preserve">Da diversi anni il servizio </w:t>
      </w:r>
      <w:r w:rsidR="00FA7F7E" w:rsidRPr="009B22EC">
        <w:rPr>
          <w:sz w:val="22"/>
          <w:szCs w:val="22"/>
        </w:rPr>
        <w:t>è stato ampliato</w:t>
      </w:r>
      <w:r w:rsidR="00286455" w:rsidRPr="009B22EC">
        <w:rPr>
          <w:sz w:val="22"/>
          <w:szCs w:val="22"/>
        </w:rPr>
        <w:t xml:space="preserve">, </w:t>
      </w:r>
      <w:r w:rsidR="00955CD2" w:rsidRPr="009B22EC">
        <w:rPr>
          <w:sz w:val="22"/>
          <w:szCs w:val="22"/>
        </w:rPr>
        <w:t>includendo anche i mesi di</w:t>
      </w:r>
      <w:r w:rsidR="00286455" w:rsidRPr="009B22EC">
        <w:rPr>
          <w:sz w:val="22"/>
          <w:szCs w:val="22"/>
        </w:rPr>
        <w:t xml:space="preserve"> giugno</w:t>
      </w:r>
      <w:r w:rsidRPr="009B22EC">
        <w:rPr>
          <w:sz w:val="22"/>
          <w:szCs w:val="22"/>
        </w:rPr>
        <w:t xml:space="preserve">, </w:t>
      </w:r>
      <w:r w:rsidR="00286455" w:rsidRPr="009B22EC">
        <w:rPr>
          <w:sz w:val="22"/>
          <w:szCs w:val="22"/>
        </w:rPr>
        <w:t xml:space="preserve">di </w:t>
      </w:r>
      <w:r w:rsidR="00267A14" w:rsidRPr="009B22EC">
        <w:rPr>
          <w:sz w:val="22"/>
          <w:szCs w:val="22"/>
        </w:rPr>
        <w:t>agosto</w:t>
      </w:r>
      <w:r w:rsidRPr="009B22EC">
        <w:rPr>
          <w:sz w:val="22"/>
          <w:szCs w:val="22"/>
        </w:rPr>
        <w:t xml:space="preserve"> e la prima settima settimana di settembre</w:t>
      </w:r>
      <w:r w:rsidR="004904E0" w:rsidRPr="009B22EC">
        <w:rPr>
          <w:sz w:val="22"/>
          <w:szCs w:val="22"/>
        </w:rPr>
        <w:t>,</w:t>
      </w:r>
      <w:r w:rsidR="00955CD2" w:rsidRPr="009B22EC">
        <w:rPr>
          <w:sz w:val="22"/>
          <w:szCs w:val="22"/>
        </w:rPr>
        <w:t xml:space="preserve"> oltre al tradizionale periodo di luglio,</w:t>
      </w:r>
      <w:r w:rsidR="00286455" w:rsidRPr="009B22EC">
        <w:rPr>
          <w:sz w:val="22"/>
          <w:szCs w:val="22"/>
        </w:rPr>
        <w:t xml:space="preserve"> </w:t>
      </w:r>
      <w:r w:rsidR="00955CD2" w:rsidRPr="009B22EC">
        <w:rPr>
          <w:sz w:val="22"/>
          <w:szCs w:val="22"/>
        </w:rPr>
        <w:t>e prevedendo la</w:t>
      </w:r>
      <w:r w:rsidR="00286455" w:rsidRPr="009B22EC">
        <w:rPr>
          <w:sz w:val="22"/>
          <w:szCs w:val="22"/>
        </w:rPr>
        <w:t xml:space="preserve"> possibilità per gli utenti di anticipare l’entrata alle ore 7.30 e/o di posticipare l’uscita alle ore 18.00</w:t>
      </w:r>
      <w:r w:rsidR="00955CD2" w:rsidRPr="009B22EC">
        <w:rPr>
          <w:sz w:val="22"/>
          <w:szCs w:val="22"/>
        </w:rPr>
        <w:t xml:space="preserve"> (servizi di </w:t>
      </w:r>
      <w:proofErr w:type="spellStart"/>
      <w:r w:rsidR="00955CD2" w:rsidRPr="009B22EC">
        <w:rPr>
          <w:sz w:val="22"/>
          <w:szCs w:val="22"/>
        </w:rPr>
        <w:t>pre</w:t>
      </w:r>
      <w:proofErr w:type="spellEnd"/>
      <w:r w:rsidR="00955CD2" w:rsidRPr="009B22EC">
        <w:rPr>
          <w:sz w:val="22"/>
          <w:szCs w:val="22"/>
        </w:rPr>
        <w:t xml:space="preserve"> e post centro)</w:t>
      </w:r>
      <w:r w:rsidR="00286455" w:rsidRPr="009B22EC">
        <w:rPr>
          <w:sz w:val="22"/>
          <w:szCs w:val="22"/>
        </w:rPr>
        <w:t>.</w:t>
      </w:r>
    </w:p>
    <w:p w14:paraId="29961C69" w14:textId="77777777" w:rsidR="007B3923" w:rsidRPr="009B22EC" w:rsidRDefault="007B3923" w:rsidP="00395BE4">
      <w:pPr>
        <w:pStyle w:val="Standard"/>
        <w:jc w:val="both"/>
        <w:rPr>
          <w:sz w:val="22"/>
          <w:szCs w:val="22"/>
        </w:rPr>
      </w:pPr>
    </w:p>
    <w:p w14:paraId="7DEFD142" w14:textId="3B5692F4" w:rsidR="00302A65" w:rsidRPr="009B22EC" w:rsidRDefault="00302A65" w:rsidP="00395BE4">
      <w:pPr>
        <w:pStyle w:val="Standard"/>
        <w:jc w:val="both"/>
        <w:rPr>
          <w:sz w:val="22"/>
          <w:szCs w:val="22"/>
        </w:rPr>
      </w:pPr>
      <w:r w:rsidRPr="009B22EC">
        <w:rPr>
          <w:sz w:val="22"/>
          <w:szCs w:val="22"/>
        </w:rPr>
        <w:t>Il servizio</w:t>
      </w:r>
      <w:r w:rsidR="00395BE4" w:rsidRPr="009B22EC">
        <w:rPr>
          <w:sz w:val="22"/>
          <w:szCs w:val="22"/>
        </w:rPr>
        <w:t xml:space="preserve"> </w:t>
      </w:r>
      <w:r w:rsidR="00DA1BE8" w:rsidRPr="009B22EC">
        <w:rPr>
          <w:sz w:val="22"/>
          <w:szCs w:val="22"/>
        </w:rPr>
        <w:t>prevede</w:t>
      </w:r>
      <w:r w:rsidRPr="009B22EC">
        <w:rPr>
          <w:sz w:val="22"/>
          <w:szCs w:val="22"/>
        </w:rPr>
        <w:t xml:space="preserve"> anche l’assistenza specifica a favore dei bambini con disabilità e </w:t>
      </w:r>
      <w:r w:rsidR="00395BE4" w:rsidRPr="009B22EC">
        <w:rPr>
          <w:sz w:val="22"/>
          <w:szCs w:val="22"/>
        </w:rPr>
        <w:t>in</w:t>
      </w:r>
      <w:r w:rsidRPr="009B22EC">
        <w:rPr>
          <w:sz w:val="22"/>
          <w:szCs w:val="22"/>
        </w:rPr>
        <w:t xml:space="preserve"> situazioni di </w:t>
      </w:r>
      <w:r w:rsidR="00DA1BE8" w:rsidRPr="009B22EC">
        <w:rPr>
          <w:sz w:val="22"/>
          <w:szCs w:val="22"/>
        </w:rPr>
        <w:t>fragilità</w:t>
      </w:r>
      <w:r w:rsidRPr="009B22EC">
        <w:rPr>
          <w:sz w:val="22"/>
          <w:szCs w:val="22"/>
        </w:rPr>
        <w:t xml:space="preserve"> segnalati </w:t>
      </w:r>
      <w:r w:rsidR="00C12471" w:rsidRPr="009B22EC">
        <w:rPr>
          <w:sz w:val="22"/>
          <w:szCs w:val="22"/>
        </w:rPr>
        <w:t xml:space="preserve">dai </w:t>
      </w:r>
      <w:r w:rsidR="00766D4F" w:rsidRPr="009B22EC">
        <w:rPr>
          <w:sz w:val="22"/>
          <w:szCs w:val="22"/>
        </w:rPr>
        <w:t>s</w:t>
      </w:r>
      <w:r w:rsidR="00C12471" w:rsidRPr="009B22EC">
        <w:rPr>
          <w:sz w:val="22"/>
          <w:szCs w:val="22"/>
        </w:rPr>
        <w:t xml:space="preserve">ervizi </w:t>
      </w:r>
      <w:r w:rsidR="00766D4F" w:rsidRPr="009B22EC">
        <w:rPr>
          <w:sz w:val="22"/>
          <w:szCs w:val="22"/>
        </w:rPr>
        <w:t xml:space="preserve">Politiche </w:t>
      </w:r>
      <w:r w:rsidR="00C12471" w:rsidRPr="009B22EC">
        <w:rPr>
          <w:sz w:val="22"/>
          <w:szCs w:val="22"/>
        </w:rPr>
        <w:t>sociali</w:t>
      </w:r>
      <w:r w:rsidR="00F7219B" w:rsidRPr="009B22EC">
        <w:rPr>
          <w:sz w:val="22"/>
          <w:szCs w:val="22"/>
        </w:rPr>
        <w:t>.</w:t>
      </w:r>
    </w:p>
    <w:p w14:paraId="743BC27D" w14:textId="77777777" w:rsidR="006E6700" w:rsidRPr="009B22EC" w:rsidRDefault="006E6700" w:rsidP="00395BE4">
      <w:pPr>
        <w:spacing w:line="240" w:lineRule="auto"/>
        <w:jc w:val="both"/>
        <w:rPr>
          <w:rFonts w:ascii="Times New Roman" w:eastAsia="SimSun" w:hAnsi="Times New Roman" w:cs="Arial"/>
          <w:kern w:val="3"/>
          <w:lang w:eastAsia="zh-CN" w:bidi="hi-IN"/>
        </w:rPr>
      </w:pPr>
    </w:p>
    <w:p w14:paraId="01816D07" w14:textId="402C4B49" w:rsidR="00A60680" w:rsidRPr="009B22EC" w:rsidRDefault="006E6700" w:rsidP="00395BE4">
      <w:pPr>
        <w:spacing w:line="240" w:lineRule="auto"/>
        <w:jc w:val="both"/>
        <w:rPr>
          <w:rFonts w:ascii="Times New Roman" w:eastAsia="SimSun" w:hAnsi="Times New Roman" w:cs="Arial"/>
          <w:kern w:val="3"/>
          <w:lang w:eastAsia="zh-CN" w:bidi="hi-IN"/>
        </w:rPr>
      </w:pPr>
      <w:r w:rsidRPr="009B22EC">
        <w:rPr>
          <w:rFonts w:ascii="Times New Roman" w:eastAsia="SimSun" w:hAnsi="Times New Roman" w:cs="Arial"/>
          <w:kern w:val="3"/>
          <w:lang w:eastAsia="zh-CN" w:bidi="hi-IN"/>
        </w:rPr>
        <w:t>Le figure professionali richieste per l’espletamento dei servizi sono:</w:t>
      </w:r>
    </w:p>
    <w:p w14:paraId="5D405280" w14:textId="2B20A954" w:rsidR="006E6700" w:rsidRPr="009B22EC" w:rsidRDefault="00886464" w:rsidP="006E6700">
      <w:pPr>
        <w:pStyle w:val="Paragrafoelenco"/>
        <w:numPr>
          <w:ilvl w:val="0"/>
          <w:numId w:val="7"/>
        </w:numPr>
        <w:spacing w:line="240" w:lineRule="auto"/>
        <w:jc w:val="both"/>
        <w:rPr>
          <w:rFonts w:ascii="Times New Roman" w:eastAsia="SimSun" w:hAnsi="Times New Roman" w:cs="Arial"/>
          <w:kern w:val="3"/>
          <w:lang w:eastAsia="zh-CN" w:bidi="hi-IN"/>
        </w:rPr>
      </w:pPr>
      <w:r w:rsidRPr="009B22EC">
        <w:rPr>
          <w:rFonts w:ascii="Times New Roman" w:eastAsia="SimSun" w:hAnsi="Times New Roman" w:cs="Arial"/>
          <w:kern w:val="3"/>
          <w:lang w:eastAsia="zh-CN" w:bidi="hi-IN"/>
        </w:rPr>
        <w:t xml:space="preserve">N. 1 Direttore </w:t>
      </w:r>
      <w:r w:rsidR="002A4BB6" w:rsidRPr="009B22EC">
        <w:rPr>
          <w:rFonts w:ascii="Times New Roman" w:eastAsia="SimSun" w:hAnsi="Times New Roman" w:cs="Arial"/>
          <w:kern w:val="3"/>
          <w:lang w:eastAsia="zh-CN" w:bidi="hi-IN"/>
        </w:rPr>
        <w:t xml:space="preserve">Responsabile di </w:t>
      </w:r>
      <w:r w:rsidRPr="009B22EC">
        <w:rPr>
          <w:rFonts w:ascii="Times New Roman" w:eastAsia="SimSun" w:hAnsi="Times New Roman" w:cs="Arial"/>
          <w:kern w:val="3"/>
          <w:lang w:eastAsia="zh-CN" w:bidi="hi-IN"/>
        </w:rPr>
        <w:t xml:space="preserve">entrambi i CRE </w:t>
      </w:r>
      <w:r w:rsidR="002A4BB6" w:rsidRPr="009B22EC">
        <w:rPr>
          <w:rFonts w:ascii="Times New Roman" w:eastAsia="SimSun" w:hAnsi="Times New Roman" w:cs="Arial"/>
          <w:kern w:val="3"/>
          <w:lang w:eastAsia="zh-CN" w:bidi="hi-IN"/>
        </w:rPr>
        <w:t>(che è il diretto referente dell’Amministrazione Comunale</w:t>
      </w:r>
      <w:r w:rsidR="006E6700" w:rsidRPr="009B22EC">
        <w:rPr>
          <w:rFonts w:ascii="Times New Roman" w:eastAsia="SimSun" w:hAnsi="Times New Roman" w:cs="Arial"/>
          <w:kern w:val="3"/>
          <w:lang w:eastAsia="zh-CN" w:bidi="hi-IN"/>
        </w:rPr>
        <w:t xml:space="preserve">, </w:t>
      </w:r>
      <w:proofErr w:type="spellStart"/>
      <w:r w:rsidR="00395BE4" w:rsidRPr="009B22EC">
        <w:rPr>
          <w:rFonts w:ascii="Times New Roman" w:eastAsia="SimSun" w:hAnsi="Times New Roman" w:cs="Arial"/>
          <w:kern w:val="3"/>
          <w:lang w:eastAsia="zh-CN" w:bidi="hi-IN"/>
        </w:rPr>
        <w:t>nonchè</w:t>
      </w:r>
      <w:proofErr w:type="spellEnd"/>
      <w:r w:rsidR="006E6700" w:rsidRPr="009B22EC">
        <w:rPr>
          <w:rFonts w:ascii="Times New Roman" w:eastAsia="SimSun" w:hAnsi="Times New Roman" w:cs="Arial"/>
          <w:kern w:val="3"/>
          <w:lang w:eastAsia="zh-CN" w:bidi="hi-IN"/>
        </w:rPr>
        <w:t xml:space="preserve"> il coordinatore delle attività e del personale operante</w:t>
      </w:r>
      <w:r w:rsidR="002A4BB6" w:rsidRPr="009B22EC">
        <w:rPr>
          <w:rFonts w:ascii="Times New Roman" w:eastAsia="SimSun" w:hAnsi="Times New Roman" w:cs="Arial"/>
          <w:kern w:val="3"/>
          <w:lang w:eastAsia="zh-CN" w:bidi="hi-IN"/>
        </w:rPr>
        <w:t>)</w:t>
      </w:r>
      <w:r w:rsidR="006E6700" w:rsidRPr="009B22EC">
        <w:rPr>
          <w:rFonts w:ascii="Times New Roman" w:eastAsia="SimSun" w:hAnsi="Times New Roman" w:cs="Arial"/>
          <w:kern w:val="3"/>
          <w:lang w:eastAsia="zh-CN" w:bidi="hi-IN"/>
        </w:rPr>
        <w:t>;</w:t>
      </w:r>
    </w:p>
    <w:p w14:paraId="07A9D1BF" w14:textId="4C8AC49E" w:rsidR="00A60680" w:rsidRPr="009B22EC" w:rsidRDefault="00F06692" w:rsidP="006E6700">
      <w:pPr>
        <w:pStyle w:val="Paragrafoelenco"/>
        <w:numPr>
          <w:ilvl w:val="0"/>
          <w:numId w:val="7"/>
        </w:numPr>
        <w:spacing w:line="240" w:lineRule="auto"/>
        <w:jc w:val="both"/>
        <w:rPr>
          <w:rFonts w:ascii="Times New Roman" w:eastAsia="SimSun" w:hAnsi="Times New Roman" w:cs="Arial"/>
          <w:kern w:val="3"/>
          <w:lang w:eastAsia="zh-CN" w:bidi="hi-IN"/>
        </w:rPr>
      </w:pPr>
      <w:r w:rsidRPr="009B22EC">
        <w:rPr>
          <w:rFonts w:ascii="Times New Roman" w:eastAsia="SimSun" w:hAnsi="Times New Roman" w:cs="Arial"/>
          <w:kern w:val="3"/>
          <w:lang w:eastAsia="zh-CN" w:bidi="hi-IN"/>
        </w:rPr>
        <w:t xml:space="preserve">N. 2 </w:t>
      </w:r>
      <w:r w:rsidR="00A60680" w:rsidRPr="009B22EC">
        <w:rPr>
          <w:rFonts w:ascii="Times New Roman" w:eastAsia="SimSun" w:hAnsi="Times New Roman" w:cs="Arial"/>
          <w:kern w:val="3"/>
          <w:lang w:eastAsia="zh-CN" w:bidi="hi-IN"/>
        </w:rPr>
        <w:t xml:space="preserve">Coordinatori di Centro, uno </w:t>
      </w:r>
      <w:r w:rsidR="0048080B" w:rsidRPr="009B22EC">
        <w:rPr>
          <w:rFonts w:ascii="Times New Roman" w:eastAsia="SimSun" w:hAnsi="Times New Roman" w:cs="Arial"/>
          <w:kern w:val="3"/>
          <w:lang w:eastAsia="zh-CN" w:bidi="hi-IN"/>
        </w:rPr>
        <w:t>per i</w:t>
      </w:r>
      <w:r w:rsidR="00A60680" w:rsidRPr="009B22EC">
        <w:rPr>
          <w:rFonts w:ascii="Times New Roman" w:eastAsia="SimSun" w:hAnsi="Times New Roman" w:cs="Arial"/>
          <w:kern w:val="3"/>
          <w:lang w:eastAsia="zh-CN" w:bidi="hi-IN"/>
        </w:rPr>
        <w:t xml:space="preserve">l CRE </w:t>
      </w:r>
      <w:r w:rsidR="00F43E6C" w:rsidRPr="009B22EC">
        <w:rPr>
          <w:rFonts w:ascii="Times New Roman" w:eastAsia="SimSun" w:hAnsi="Times New Roman" w:cs="Arial"/>
          <w:kern w:val="3"/>
          <w:lang w:eastAsia="zh-CN" w:bidi="hi-IN"/>
        </w:rPr>
        <w:t xml:space="preserve">infanzia </w:t>
      </w:r>
      <w:r w:rsidR="00A60680" w:rsidRPr="009B22EC">
        <w:rPr>
          <w:rFonts w:ascii="Times New Roman" w:eastAsia="SimSun" w:hAnsi="Times New Roman" w:cs="Arial"/>
          <w:kern w:val="3"/>
          <w:lang w:eastAsia="zh-CN" w:bidi="hi-IN"/>
        </w:rPr>
        <w:t xml:space="preserve">e uno </w:t>
      </w:r>
      <w:r w:rsidR="0048080B" w:rsidRPr="009B22EC">
        <w:rPr>
          <w:rFonts w:ascii="Times New Roman" w:eastAsia="SimSun" w:hAnsi="Times New Roman" w:cs="Arial"/>
          <w:kern w:val="3"/>
          <w:lang w:eastAsia="zh-CN" w:bidi="hi-IN"/>
        </w:rPr>
        <w:t>per il</w:t>
      </w:r>
      <w:r w:rsidR="00A60680" w:rsidRPr="009B22EC">
        <w:rPr>
          <w:rFonts w:ascii="Times New Roman" w:eastAsia="SimSun" w:hAnsi="Times New Roman" w:cs="Arial"/>
          <w:kern w:val="3"/>
          <w:lang w:eastAsia="zh-CN" w:bidi="hi-IN"/>
        </w:rPr>
        <w:t xml:space="preserve"> CRE </w:t>
      </w:r>
      <w:r w:rsidR="00F43E6C" w:rsidRPr="009B22EC">
        <w:rPr>
          <w:rFonts w:ascii="Times New Roman" w:eastAsia="SimSun" w:hAnsi="Times New Roman" w:cs="Arial"/>
          <w:kern w:val="3"/>
          <w:lang w:eastAsia="zh-CN" w:bidi="hi-IN"/>
        </w:rPr>
        <w:t xml:space="preserve">primaria </w:t>
      </w:r>
      <w:r w:rsidR="00A60680" w:rsidRPr="009B22EC">
        <w:rPr>
          <w:rFonts w:ascii="Times New Roman" w:eastAsia="SimSun" w:hAnsi="Times New Roman" w:cs="Arial"/>
          <w:kern w:val="3"/>
          <w:lang w:eastAsia="zh-CN" w:bidi="hi-IN"/>
        </w:rPr>
        <w:t>(responsabili dell</w:t>
      </w:r>
      <w:r w:rsidR="00395BE4" w:rsidRPr="009B22EC">
        <w:rPr>
          <w:rFonts w:ascii="Times New Roman" w:eastAsia="SimSun" w:hAnsi="Times New Roman" w:cs="Arial"/>
          <w:kern w:val="3"/>
          <w:lang w:eastAsia="zh-CN" w:bidi="hi-IN"/>
        </w:rPr>
        <w:t xml:space="preserve">e </w:t>
      </w:r>
      <w:r w:rsidR="00A60680" w:rsidRPr="009B22EC">
        <w:rPr>
          <w:rFonts w:ascii="Times New Roman" w:eastAsia="SimSun" w:hAnsi="Times New Roman" w:cs="Arial"/>
          <w:kern w:val="3"/>
          <w:lang w:eastAsia="zh-CN" w:bidi="hi-IN"/>
        </w:rPr>
        <w:t xml:space="preserve">attività nei singoli plessi, in cui devono </w:t>
      </w:r>
      <w:r w:rsidR="00395BE4" w:rsidRPr="009B22EC">
        <w:rPr>
          <w:rFonts w:ascii="Times New Roman" w:eastAsia="SimSun" w:hAnsi="Times New Roman" w:cs="Arial"/>
          <w:kern w:val="3"/>
          <w:lang w:eastAsia="zh-CN" w:bidi="hi-IN"/>
        </w:rPr>
        <w:t>garantire sempre la loro</w:t>
      </w:r>
      <w:r w:rsidR="00A60680" w:rsidRPr="009B22EC">
        <w:rPr>
          <w:rFonts w:ascii="Times New Roman" w:eastAsia="SimSun" w:hAnsi="Times New Roman" w:cs="Arial"/>
          <w:kern w:val="3"/>
          <w:lang w:eastAsia="zh-CN" w:bidi="hi-IN"/>
        </w:rPr>
        <w:t xml:space="preserve"> presen</w:t>
      </w:r>
      <w:r w:rsidR="00395BE4" w:rsidRPr="009B22EC">
        <w:rPr>
          <w:rFonts w:ascii="Times New Roman" w:eastAsia="SimSun" w:hAnsi="Times New Roman" w:cs="Arial"/>
          <w:kern w:val="3"/>
          <w:lang w:eastAsia="zh-CN" w:bidi="hi-IN"/>
        </w:rPr>
        <w:t>za</w:t>
      </w:r>
      <w:r w:rsidR="00A60680" w:rsidRPr="009B22EC">
        <w:rPr>
          <w:rFonts w:ascii="Times New Roman" w:eastAsia="SimSun" w:hAnsi="Times New Roman" w:cs="Arial"/>
          <w:kern w:val="3"/>
          <w:lang w:eastAsia="zh-CN" w:bidi="hi-IN"/>
        </w:rPr>
        <w:t xml:space="preserve">); </w:t>
      </w:r>
    </w:p>
    <w:p w14:paraId="18E031C7" w14:textId="7E50FE44" w:rsidR="002A4BB6" w:rsidRPr="009B22EC" w:rsidRDefault="00A60680" w:rsidP="006E6700">
      <w:pPr>
        <w:pStyle w:val="Paragrafoelenco"/>
        <w:numPr>
          <w:ilvl w:val="0"/>
          <w:numId w:val="7"/>
        </w:numPr>
        <w:spacing w:line="240" w:lineRule="auto"/>
        <w:jc w:val="both"/>
        <w:rPr>
          <w:rFonts w:ascii="Times New Roman" w:eastAsia="SimSun" w:hAnsi="Times New Roman" w:cs="Arial"/>
          <w:kern w:val="3"/>
          <w:lang w:eastAsia="zh-CN" w:bidi="hi-IN"/>
        </w:rPr>
      </w:pPr>
      <w:r w:rsidRPr="009B22EC">
        <w:rPr>
          <w:rFonts w:ascii="Times New Roman" w:eastAsia="SimSun" w:hAnsi="Times New Roman" w:cs="Arial"/>
          <w:kern w:val="3"/>
          <w:lang w:eastAsia="zh-CN" w:bidi="hi-IN"/>
        </w:rPr>
        <w:t>Educatori/Animatori maggiorenni</w:t>
      </w:r>
      <w:r w:rsidR="00F43D1A" w:rsidRPr="009B22EC">
        <w:rPr>
          <w:rFonts w:ascii="Times New Roman" w:eastAsia="SimSun" w:hAnsi="Times New Roman" w:cs="Arial"/>
          <w:kern w:val="3"/>
          <w:lang w:eastAsia="zh-CN" w:bidi="hi-IN"/>
        </w:rPr>
        <w:t xml:space="preserve"> (rapporto 1:</w:t>
      </w:r>
      <w:r w:rsidR="0048080B" w:rsidRPr="009B22EC">
        <w:rPr>
          <w:rFonts w:ascii="Times New Roman" w:eastAsia="SimSun" w:hAnsi="Times New Roman" w:cs="Arial"/>
          <w:kern w:val="3"/>
          <w:lang w:eastAsia="zh-CN" w:bidi="hi-IN"/>
        </w:rPr>
        <w:t>15</w:t>
      </w:r>
      <w:r w:rsidR="00F43D1A" w:rsidRPr="009B22EC">
        <w:rPr>
          <w:rFonts w:ascii="Times New Roman" w:eastAsia="SimSun" w:hAnsi="Times New Roman" w:cs="Arial"/>
          <w:kern w:val="3"/>
          <w:lang w:eastAsia="zh-CN" w:bidi="hi-IN"/>
        </w:rPr>
        <w:t xml:space="preserve"> per</w:t>
      </w:r>
      <w:r w:rsidR="0048080B" w:rsidRPr="009B22EC">
        <w:rPr>
          <w:rFonts w:ascii="Times New Roman" w:eastAsia="SimSun" w:hAnsi="Times New Roman" w:cs="Arial"/>
          <w:kern w:val="3"/>
          <w:lang w:eastAsia="zh-CN" w:bidi="hi-IN"/>
        </w:rPr>
        <w:t xml:space="preserve"> entrambi i CRE</w:t>
      </w:r>
      <w:r w:rsidR="00F43D1A" w:rsidRPr="009B22EC">
        <w:rPr>
          <w:rFonts w:ascii="Times New Roman" w:eastAsia="SimSun" w:hAnsi="Times New Roman" w:cs="Arial"/>
          <w:kern w:val="3"/>
          <w:lang w:eastAsia="zh-CN" w:bidi="hi-IN"/>
        </w:rPr>
        <w:t>)</w:t>
      </w:r>
      <w:r w:rsidR="003C7843" w:rsidRPr="009B22EC">
        <w:rPr>
          <w:rFonts w:ascii="Times New Roman" w:eastAsia="SimSun" w:hAnsi="Times New Roman" w:cs="Arial"/>
          <w:kern w:val="3"/>
          <w:lang w:eastAsia="zh-CN" w:bidi="hi-IN"/>
        </w:rPr>
        <w:t xml:space="preserve">, </w:t>
      </w:r>
      <w:r w:rsidR="002A4BB6" w:rsidRPr="009B22EC">
        <w:rPr>
          <w:rFonts w:ascii="Times New Roman" w:eastAsia="SimSun" w:hAnsi="Times New Roman" w:cs="Arial"/>
          <w:kern w:val="3"/>
          <w:lang w:eastAsia="zh-CN" w:bidi="hi-IN"/>
        </w:rPr>
        <w:t>che avranno</w:t>
      </w:r>
      <w:r w:rsidR="006E6700" w:rsidRPr="009B22EC">
        <w:rPr>
          <w:rFonts w:ascii="Times New Roman" w:eastAsia="SimSun" w:hAnsi="Times New Roman" w:cs="Arial"/>
          <w:kern w:val="3"/>
          <w:lang w:eastAsia="zh-CN" w:bidi="hi-IN"/>
        </w:rPr>
        <w:t xml:space="preserve"> la diretta responsabilità di sorveglianza </w:t>
      </w:r>
      <w:r w:rsidR="00955CD2" w:rsidRPr="009B22EC">
        <w:rPr>
          <w:rFonts w:ascii="Times New Roman" w:eastAsia="SimSun" w:hAnsi="Times New Roman" w:cs="Arial"/>
          <w:kern w:val="3"/>
          <w:lang w:eastAsia="zh-CN" w:bidi="hi-IN"/>
        </w:rPr>
        <w:t>dei bambini</w:t>
      </w:r>
      <w:r w:rsidR="006E6700" w:rsidRPr="009B22EC">
        <w:rPr>
          <w:rFonts w:ascii="Times New Roman" w:eastAsia="SimSun" w:hAnsi="Times New Roman" w:cs="Arial"/>
          <w:kern w:val="3"/>
          <w:lang w:eastAsia="zh-CN" w:bidi="hi-IN"/>
        </w:rPr>
        <w:t xml:space="preserve"> e </w:t>
      </w:r>
      <w:r w:rsidR="000C1ED3" w:rsidRPr="009B22EC">
        <w:rPr>
          <w:rFonts w:ascii="Times New Roman" w:eastAsia="SimSun" w:hAnsi="Times New Roman" w:cs="Arial"/>
          <w:kern w:val="3"/>
          <w:lang w:eastAsia="zh-CN" w:bidi="hi-IN"/>
        </w:rPr>
        <w:t xml:space="preserve">di </w:t>
      </w:r>
      <w:r w:rsidR="006E6700" w:rsidRPr="009B22EC">
        <w:rPr>
          <w:rFonts w:ascii="Times New Roman" w:eastAsia="SimSun" w:hAnsi="Times New Roman" w:cs="Arial"/>
          <w:kern w:val="3"/>
          <w:lang w:eastAsia="zh-CN" w:bidi="hi-IN"/>
        </w:rPr>
        <w:t>realizzazione dei progetti educativi</w:t>
      </w:r>
      <w:r w:rsidR="000C1ED3" w:rsidRPr="009B22EC">
        <w:rPr>
          <w:rFonts w:ascii="Times New Roman" w:eastAsia="SimSun" w:hAnsi="Times New Roman" w:cs="Arial"/>
          <w:kern w:val="3"/>
          <w:lang w:eastAsia="zh-CN" w:bidi="hi-IN"/>
        </w:rPr>
        <w:t xml:space="preserve">, nonché di gestione dei rapporti con le famiglie e il personale </w:t>
      </w:r>
      <w:r w:rsidR="0052390C" w:rsidRPr="009B22EC">
        <w:rPr>
          <w:rFonts w:ascii="Times New Roman" w:eastAsia="SimSun" w:hAnsi="Times New Roman" w:cs="Arial"/>
          <w:kern w:val="3"/>
          <w:lang w:eastAsia="zh-CN" w:bidi="hi-IN"/>
        </w:rPr>
        <w:t>ausiliario</w:t>
      </w:r>
      <w:r w:rsidRPr="009B22EC">
        <w:rPr>
          <w:rFonts w:ascii="Times New Roman" w:eastAsia="SimSun" w:hAnsi="Times New Roman" w:cs="Arial"/>
          <w:kern w:val="3"/>
          <w:lang w:eastAsia="zh-CN" w:bidi="hi-IN"/>
        </w:rPr>
        <w:t>;</w:t>
      </w:r>
    </w:p>
    <w:p w14:paraId="2292DBA4" w14:textId="02A5B5C6" w:rsidR="00E42E2A" w:rsidRPr="009B22EC" w:rsidRDefault="00E42E2A" w:rsidP="006E6700">
      <w:pPr>
        <w:pStyle w:val="Paragrafoelenco"/>
        <w:numPr>
          <w:ilvl w:val="0"/>
          <w:numId w:val="7"/>
        </w:numPr>
        <w:spacing w:line="240" w:lineRule="auto"/>
        <w:jc w:val="both"/>
        <w:rPr>
          <w:rFonts w:ascii="Times New Roman" w:eastAsia="SimSun" w:hAnsi="Times New Roman" w:cs="Arial"/>
          <w:kern w:val="3"/>
          <w:lang w:eastAsia="zh-CN" w:bidi="hi-IN"/>
        </w:rPr>
      </w:pPr>
      <w:r w:rsidRPr="009B22EC">
        <w:rPr>
          <w:rFonts w:ascii="Times New Roman" w:eastAsia="SimSun" w:hAnsi="Times New Roman" w:cs="Arial"/>
          <w:kern w:val="3"/>
          <w:lang w:eastAsia="zh-CN" w:bidi="hi-IN"/>
        </w:rPr>
        <w:t>Educatori di sostegno alla disabilità</w:t>
      </w:r>
      <w:r w:rsidR="00395BE4" w:rsidRPr="009B22EC">
        <w:rPr>
          <w:rFonts w:ascii="Times New Roman" w:eastAsia="SimSun" w:hAnsi="Times New Roman" w:cs="Arial"/>
          <w:kern w:val="3"/>
          <w:lang w:eastAsia="zh-CN" w:bidi="hi-IN"/>
        </w:rPr>
        <w:t>;</w:t>
      </w:r>
    </w:p>
    <w:p w14:paraId="6BE26B45" w14:textId="5C5147FA" w:rsidR="00335E2F" w:rsidRPr="009B22EC" w:rsidRDefault="00A60680" w:rsidP="004D0B46">
      <w:pPr>
        <w:pStyle w:val="Paragrafoelenco"/>
        <w:numPr>
          <w:ilvl w:val="0"/>
          <w:numId w:val="7"/>
        </w:numPr>
        <w:spacing w:line="240" w:lineRule="auto"/>
        <w:jc w:val="both"/>
        <w:rPr>
          <w:rFonts w:ascii="Times New Roman" w:eastAsia="SimSun" w:hAnsi="Times New Roman" w:cs="Arial"/>
          <w:kern w:val="3"/>
          <w:lang w:eastAsia="zh-CN" w:bidi="hi-IN"/>
        </w:rPr>
      </w:pPr>
      <w:r w:rsidRPr="009B22EC">
        <w:rPr>
          <w:rFonts w:ascii="Times New Roman" w:eastAsia="SimSun" w:hAnsi="Times New Roman" w:cs="Arial"/>
          <w:kern w:val="3"/>
          <w:lang w:eastAsia="zh-CN" w:bidi="hi-IN"/>
        </w:rPr>
        <w:t>Persona</w:t>
      </w:r>
      <w:r w:rsidR="00DD1FB3" w:rsidRPr="009B22EC">
        <w:rPr>
          <w:rFonts w:ascii="Times New Roman" w:eastAsia="SimSun" w:hAnsi="Times New Roman" w:cs="Arial"/>
          <w:kern w:val="3"/>
          <w:lang w:eastAsia="zh-CN" w:bidi="hi-IN"/>
        </w:rPr>
        <w:t>le per sorveglianza e gestione i</w:t>
      </w:r>
      <w:r w:rsidRPr="009B22EC">
        <w:rPr>
          <w:rFonts w:ascii="Times New Roman" w:eastAsia="SimSun" w:hAnsi="Times New Roman" w:cs="Arial"/>
          <w:kern w:val="3"/>
          <w:lang w:eastAsia="zh-CN" w:bidi="hi-IN"/>
        </w:rPr>
        <w:t>mmobili che dovr</w:t>
      </w:r>
      <w:r w:rsidR="00AE3E9D" w:rsidRPr="009B22EC">
        <w:rPr>
          <w:rFonts w:ascii="Times New Roman" w:eastAsia="SimSun" w:hAnsi="Times New Roman" w:cs="Arial"/>
          <w:kern w:val="3"/>
          <w:lang w:eastAsia="zh-CN" w:bidi="hi-IN"/>
        </w:rPr>
        <w:t>à</w:t>
      </w:r>
      <w:r w:rsidRPr="009B22EC">
        <w:rPr>
          <w:rFonts w:ascii="Times New Roman" w:eastAsia="SimSun" w:hAnsi="Times New Roman" w:cs="Arial"/>
          <w:kern w:val="3"/>
          <w:lang w:eastAsia="zh-CN" w:bidi="hi-IN"/>
        </w:rPr>
        <w:t xml:space="preserve"> garantire l’apertura –</w:t>
      </w:r>
      <w:r w:rsidR="004B2308" w:rsidRPr="009B22EC">
        <w:rPr>
          <w:rFonts w:ascii="Times New Roman" w:eastAsia="SimSun" w:hAnsi="Times New Roman" w:cs="Arial"/>
          <w:kern w:val="3"/>
          <w:lang w:eastAsia="zh-CN" w:bidi="hi-IN"/>
        </w:rPr>
        <w:t xml:space="preserve"> </w:t>
      </w:r>
      <w:r w:rsidRPr="009B22EC">
        <w:rPr>
          <w:rFonts w:ascii="Times New Roman" w:eastAsia="SimSun" w:hAnsi="Times New Roman" w:cs="Arial"/>
          <w:kern w:val="3"/>
          <w:lang w:eastAsia="zh-CN" w:bidi="hi-IN"/>
        </w:rPr>
        <w:t xml:space="preserve">chiusura degli immobili </w:t>
      </w:r>
      <w:r w:rsidR="00647BD4" w:rsidRPr="009B22EC">
        <w:rPr>
          <w:rFonts w:ascii="Times New Roman" w:eastAsia="SimSun" w:hAnsi="Times New Roman" w:cs="Arial"/>
          <w:kern w:val="3"/>
          <w:lang w:eastAsia="zh-CN" w:bidi="hi-IN"/>
        </w:rPr>
        <w:t xml:space="preserve">e </w:t>
      </w:r>
      <w:r w:rsidRPr="009B22EC">
        <w:rPr>
          <w:rFonts w:ascii="Times New Roman" w:eastAsia="SimSun" w:hAnsi="Times New Roman" w:cs="Arial"/>
          <w:kern w:val="3"/>
          <w:lang w:eastAsia="zh-CN" w:bidi="hi-IN"/>
        </w:rPr>
        <w:t xml:space="preserve">la relativa sorveglianza in entrata e uscita durante tutto il periodo di apertura dei CRE, effettuare i servizi di </w:t>
      </w:r>
      <w:r w:rsidR="0048080B" w:rsidRPr="009B22EC">
        <w:rPr>
          <w:rFonts w:ascii="Times New Roman" w:eastAsia="SimSun" w:hAnsi="Times New Roman" w:cs="Arial"/>
          <w:kern w:val="3"/>
          <w:lang w:eastAsia="zh-CN" w:bidi="hi-IN"/>
        </w:rPr>
        <w:t>igienizzazione</w:t>
      </w:r>
      <w:r w:rsidRPr="009B22EC">
        <w:rPr>
          <w:rFonts w:ascii="Times New Roman" w:eastAsia="SimSun" w:hAnsi="Times New Roman" w:cs="Arial"/>
          <w:kern w:val="3"/>
          <w:lang w:eastAsia="zh-CN" w:bidi="hi-IN"/>
        </w:rPr>
        <w:t xml:space="preserve"> degli spazi interni</w:t>
      </w:r>
      <w:r w:rsidR="00F06692" w:rsidRPr="009B22EC">
        <w:rPr>
          <w:rFonts w:ascii="Times New Roman" w:eastAsia="SimSun" w:hAnsi="Times New Roman" w:cs="Arial"/>
          <w:kern w:val="3"/>
          <w:lang w:eastAsia="zh-CN" w:bidi="hi-IN"/>
        </w:rPr>
        <w:t>/esterni impiegati e segnalare situazioni di danno o manomissione degli arredi e delle attrezzature.</w:t>
      </w:r>
    </w:p>
    <w:p w14:paraId="46C5899C" w14:textId="77777777" w:rsidR="006E6102" w:rsidRPr="009B22EC" w:rsidRDefault="006E6102" w:rsidP="006E6102">
      <w:pPr>
        <w:spacing w:line="240" w:lineRule="auto"/>
        <w:jc w:val="both"/>
        <w:rPr>
          <w:rFonts w:ascii="Times New Roman" w:eastAsia="SimSun" w:hAnsi="Times New Roman" w:cs="Arial"/>
          <w:kern w:val="3"/>
          <w:lang w:eastAsia="zh-CN" w:bidi="hi-IN"/>
        </w:rPr>
      </w:pPr>
    </w:p>
    <w:p w14:paraId="793F5077" w14:textId="2E406982" w:rsidR="00FA11EE" w:rsidRPr="009B22EC" w:rsidRDefault="00FA11EE" w:rsidP="00032BD7">
      <w:pPr>
        <w:spacing w:after="3" w:line="258" w:lineRule="auto"/>
        <w:ind w:right="-2"/>
        <w:jc w:val="both"/>
        <w:rPr>
          <w:rFonts w:ascii="Times New Roman" w:hAnsi="Times New Roman" w:cs="Times New Roman"/>
        </w:rPr>
      </w:pPr>
      <w:r w:rsidRPr="009B22EC">
        <w:rPr>
          <w:rFonts w:ascii="Times New Roman" w:hAnsi="Times New Roman" w:cs="Times New Roman"/>
        </w:rPr>
        <w:lastRenderedPageBreak/>
        <w:t xml:space="preserve">Dall’anno 2025 l’Amministrazione Comunale, al fine di rispondere ai bisogni delle famiglie residenti, ha previsto l’organizzazione </w:t>
      </w:r>
      <w:r w:rsidR="007B3923" w:rsidRPr="009B22EC">
        <w:rPr>
          <w:rFonts w:ascii="Times New Roman" w:hAnsi="Times New Roman" w:cs="Times New Roman"/>
        </w:rPr>
        <w:t xml:space="preserve">sperimentale </w:t>
      </w:r>
      <w:r w:rsidRPr="009B22EC">
        <w:rPr>
          <w:rFonts w:ascii="Times New Roman" w:hAnsi="Times New Roman" w:cs="Times New Roman"/>
        </w:rPr>
        <w:t xml:space="preserve">dei Campus Primaverili e Invernali durante le chiusure degli </w:t>
      </w:r>
      <w:r w:rsidR="007B3923" w:rsidRPr="009B22EC">
        <w:rPr>
          <w:rFonts w:ascii="Times New Roman" w:hAnsi="Times New Roman" w:cs="Times New Roman"/>
        </w:rPr>
        <w:t>I</w:t>
      </w:r>
      <w:r w:rsidRPr="009B22EC">
        <w:rPr>
          <w:rFonts w:ascii="Times New Roman" w:hAnsi="Times New Roman" w:cs="Times New Roman"/>
        </w:rPr>
        <w:t xml:space="preserve">stituti scolastici </w:t>
      </w:r>
      <w:r w:rsidR="007B3923" w:rsidRPr="009B22EC">
        <w:rPr>
          <w:rFonts w:ascii="Times New Roman" w:hAnsi="Times New Roman" w:cs="Times New Roman"/>
        </w:rPr>
        <w:t>in occasione delle</w:t>
      </w:r>
      <w:r w:rsidRPr="009B22EC">
        <w:rPr>
          <w:rFonts w:ascii="Times New Roman" w:hAnsi="Times New Roman" w:cs="Times New Roman"/>
        </w:rPr>
        <w:t xml:space="preserve"> vacanze Pasquali e </w:t>
      </w:r>
      <w:r w:rsidR="007B3923" w:rsidRPr="009B22EC">
        <w:rPr>
          <w:rFonts w:ascii="Times New Roman" w:hAnsi="Times New Roman" w:cs="Times New Roman"/>
        </w:rPr>
        <w:t>di Natale.</w:t>
      </w:r>
    </w:p>
    <w:p w14:paraId="29A92597" w14:textId="77777777" w:rsidR="00FA11EE" w:rsidRDefault="00FA11EE" w:rsidP="00032BD7">
      <w:pPr>
        <w:spacing w:after="3" w:line="258" w:lineRule="auto"/>
        <w:ind w:right="-2"/>
        <w:jc w:val="both"/>
        <w:rPr>
          <w:rFonts w:ascii="Times New Roman" w:hAnsi="Times New Roman" w:cs="Times New Roman"/>
          <w:b/>
          <w:bCs/>
          <w:szCs w:val="24"/>
        </w:rPr>
      </w:pPr>
    </w:p>
    <w:p w14:paraId="4656ABB8" w14:textId="0CFEE523" w:rsidR="00032BD7" w:rsidRDefault="00032BD7" w:rsidP="00032BD7">
      <w:pPr>
        <w:spacing w:after="3" w:line="258" w:lineRule="auto"/>
        <w:ind w:right="-2"/>
        <w:jc w:val="both"/>
        <w:rPr>
          <w:rFonts w:ascii="Times New Roman" w:hAnsi="Times New Roman" w:cs="Times New Roman"/>
          <w:b/>
          <w:bCs/>
          <w:szCs w:val="24"/>
        </w:rPr>
      </w:pPr>
      <w:r>
        <w:rPr>
          <w:rFonts w:ascii="Times New Roman" w:hAnsi="Times New Roman" w:cs="Times New Roman"/>
          <w:b/>
          <w:bCs/>
          <w:szCs w:val="24"/>
        </w:rPr>
        <w:t>DOCUMENTO DI STIMA ECONOMICA</w:t>
      </w:r>
    </w:p>
    <w:p w14:paraId="789B7951" w14:textId="0AEE4C75" w:rsidR="00DB4247" w:rsidRPr="00E827B2" w:rsidRDefault="00DB4247" w:rsidP="000C5DED">
      <w:pPr>
        <w:pStyle w:val="Corpotesto"/>
        <w:jc w:val="both"/>
        <w:rPr>
          <w:rFonts w:eastAsiaTheme="minorHAnsi"/>
          <w:sz w:val="22"/>
          <w:lang w:eastAsia="en-US"/>
        </w:rPr>
      </w:pPr>
      <w:r w:rsidRPr="00DB4247">
        <w:rPr>
          <w:rFonts w:eastAsiaTheme="minorHAnsi"/>
          <w:sz w:val="22"/>
          <w:lang w:eastAsia="en-US"/>
        </w:rPr>
        <w:t xml:space="preserve">L’importo a </w:t>
      </w:r>
      <w:r w:rsidRPr="00E827B2">
        <w:rPr>
          <w:rFonts w:eastAsiaTheme="minorHAnsi"/>
          <w:sz w:val="22"/>
          <w:lang w:eastAsia="en-US"/>
        </w:rPr>
        <w:t xml:space="preserve">base di gara per il triennio 2026, 2027 e 2028 è stabilito in € 747.000,00 Iva esclusa oltre € </w:t>
      </w:r>
      <w:r w:rsidR="007E2C6D" w:rsidRPr="00E827B2">
        <w:rPr>
          <w:rFonts w:eastAsiaTheme="minorHAnsi"/>
          <w:sz w:val="22"/>
          <w:lang w:eastAsia="en-US"/>
        </w:rPr>
        <w:t>940</w:t>
      </w:r>
      <w:r w:rsidRPr="00E827B2">
        <w:rPr>
          <w:rFonts w:eastAsiaTheme="minorHAnsi"/>
          <w:sz w:val="22"/>
          <w:lang w:eastAsia="en-US"/>
        </w:rPr>
        <w:t xml:space="preserve">,00 Iva esclusa quali </w:t>
      </w:r>
      <w:r w:rsidR="009B22EC" w:rsidRPr="00E827B2">
        <w:rPr>
          <w:rFonts w:eastAsiaTheme="minorHAnsi"/>
          <w:sz w:val="22"/>
          <w:lang w:eastAsia="en-US"/>
        </w:rPr>
        <w:t xml:space="preserve">costi </w:t>
      </w:r>
      <w:r w:rsidRPr="00E827B2">
        <w:rPr>
          <w:rFonts w:eastAsiaTheme="minorHAnsi"/>
          <w:sz w:val="22"/>
          <w:lang w:eastAsia="en-US"/>
        </w:rPr>
        <w:t>per la sicurezza in relazione ai rischi</w:t>
      </w:r>
      <w:r w:rsidRPr="00DB4247">
        <w:rPr>
          <w:rFonts w:eastAsiaTheme="minorHAnsi"/>
          <w:sz w:val="22"/>
          <w:lang w:eastAsia="en-US"/>
        </w:rPr>
        <w:t xml:space="preserve"> derivanti dalle interferenze (art. 26, comma 5 e 6 D.lgs. </w:t>
      </w:r>
      <w:r w:rsidRPr="00E827B2">
        <w:rPr>
          <w:rFonts w:eastAsiaTheme="minorHAnsi"/>
          <w:sz w:val="22"/>
          <w:lang w:eastAsia="en-US"/>
        </w:rPr>
        <w:t>9.04.2008 n. 81) non soggetti a ribasso.</w:t>
      </w:r>
    </w:p>
    <w:p w14:paraId="511626C6" w14:textId="222594E8" w:rsidR="00DB4247" w:rsidRPr="00E827B2" w:rsidRDefault="00DB4247" w:rsidP="000C5DED">
      <w:pPr>
        <w:pStyle w:val="Corpotesto"/>
        <w:jc w:val="both"/>
        <w:rPr>
          <w:sz w:val="22"/>
        </w:rPr>
      </w:pPr>
      <w:r w:rsidRPr="00E827B2">
        <w:rPr>
          <w:sz w:val="22"/>
        </w:rPr>
        <w:t xml:space="preserve">L’importo posto a base di gara comprende i costi della manodopera che la stazione appaltante ha stimato in € </w:t>
      </w:r>
      <w:r w:rsidR="00E827B2" w:rsidRPr="00E827B2">
        <w:rPr>
          <w:sz w:val="22"/>
        </w:rPr>
        <w:t>667.500</w:t>
      </w:r>
      <w:r w:rsidRPr="00E827B2">
        <w:rPr>
          <w:sz w:val="22"/>
        </w:rPr>
        <w:t>,00, calcolati</w:t>
      </w:r>
      <w:r w:rsidRPr="00DB4247">
        <w:rPr>
          <w:sz w:val="22"/>
        </w:rPr>
        <w:t xml:space="preserve"> sulla base dei seguenti elementi: </w:t>
      </w:r>
      <w:r w:rsidR="00E827B2" w:rsidRPr="00E827B2">
        <w:rPr>
          <w:sz w:val="22"/>
        </w:rPr>
        <w:t>dati relativi a qualifiche e mansioni del personale impiegato dall’appaltatore uscente (si allega ad ogni buon fine elenco del personale di cui all’Allegato I),</w:t>
      </w:r>
      <w:r w:rsidRPr="00DB4247">
        <w:rPr>
          <w:sz w:val="22"/>
        </w:rPr>
        <w:t xml:space="preserve"> stima del numero di operatori e dei relativi impegni orari previsti per il servizio di gestione dei CRE in base alla media degli iscritti nell’ultimo biennio, costi orari Contratto Collettivo Nazionale di Lavoro per le lavoratrici e i lavoratori delle Cooperative del settore socio-sanitario assistenziale-educativo e di inserimento lavorativo al netto delle indennità di turno (nello specifico livello D1 per la figura di educatore), di cui al D.D. n. 30 del 14.06.2024 emesso dal Dipartimento per le politiche del lavoro, previdenziali, assicurative e per la salute e sicurezza nei luoghi di lavori, tenendo conto degli adeguamenti di gennaio 2026</w:t>
      </w:r>
      <w:r w:rsidR="00E827B2">
        <w:rPr>
          <w:sz w:val="22"/>
        </w:rPr>
        <w:t>.</w:t>
      </w:r>
    </w:p>
    <w:p w14:paraId="59DA62E7" w14:textId="77777777" w:rsidR="00DB4247" w:rsidRPr="00DB4247" w:rsidRDefault="00DB4247" w:rsidP="000C5DED">
      <w:pPr>
        <w:jc w:val="both"/>
        <w:rPr>
          <w:rFonts w:ascii="Times New Roman" w:hAnsi="Times New Roman" w:cs="Times New Roman"/>
          <w:szCs w:val="24"/>
        </w:rPr>
      </w:pPr>
      <w:r w:rsidRPr="00DB4247">
        <w:rPr>
          <w:rFonts w:ascii="Times New Roman" w:hAnsi="Times New Roman" w:cs="Times New Roman"/>
          <w:szCs w:val="24"/>
        </w:rPr>
        <w:t xml:space="preserve">I costi della manodopera non sono soggetti al ribasso, salvo quanto disposto dall’art. 41, comma 14, del </w:t>
      </w:r>
      <w:proofErr w:type="spellStart"/>
      <w:r w:rsidRPr="00DB4247">
        <w:rPr>
          <w:rFonts w:ascii="Times New Roman" w:hAnsi="Times New Roman" w:cs="Times New Roman"/>
          <w:szCs w:val="24"/>
        </w:rPr>
        <w:t>D.Lgs.</w:t>
      </w:r>
      <w:proofErr w:type="spellEnd"/>
      <w:r w:rsidRPr="00DB4247">
        <w:rPr>
          <w:rFonts w:ascii="Times New Roman" w:hAnsi="Times New Roman" w:cs="Times New Roman"/>
          <w:szCs w:val="24"/>
        </w:rPr>
        <w:t xml:space="preserve"> n. 36/2023.</w:t>
      </w:r>
    </w:p>
    <w:p w14:paraId="6EA35176" w14:textId="77777777" w:rsidR="00DB4247" w:rsidRPr="00DB4247" w:rsidRDefault="00DB4247" w:rsidP="000C5DED">
      <w:pPr>
        <w:jc w:val="both"/>
        <w:rPr>
          <w:rFonts w:ascii="Times New Roman" w:hAnsi="Times New Roman" w:cs="Times New Roman"/>
          <w:szCs w:val="24"/>
        </w:rPr>
      </w:pPr>
      <w:r w:rsidRPr="00DB4247">
        <w:rPr>
          <w:rFonts w:ascii="Times New Roman" w:hAnsi="Times New Roman" w:cs="Times New Roman"/>
          <w:szCs w:val="24"/>
        </w:rPr>
        <w:t xml:space="preserve">Ai sensi degli artt. 11, comma 2, e 41, comma 13, del D. Lgs. n. 36/2023, il contratto collettivo applicabile al personale dipendente impiegato nell’appalto risulta pertanto essere il CCNL delle Cooperative sociali (Contratto Collettivo Nazionale di Lavoro per le lavoratrici e i lavoratori delle cooperative del settore </w:t>
      </w:r>
      <w:proofErr w:type="gramStart"/>
      <w:r w:rsidRPr="00DB4247">
        <w:rPr>
          <w:rFonts w:ascii="Times New Roman" w:hAnsi="Times New Roman" w:cs="Times New Roman"/>
          <w:szCs w:val="24"/>
        </w:rPr>
        <w:t>socio-sanitario</w:t>
      </w:r>
      <w:proofErr w:type="gramEnd"/>
      <w:r w:rsidRPr="00DB4247">
        <w:rPr>
          <w:rFonts w:ascii="Times New Roman" w:hAnsi="Times New Roman" w:cs="Times New Roman"/>
          <w:szCs w:val="24"/>
        </w:rPr>
        <w:t xml:space="preserve"> assistenziale-educativo e di inserimento lavorativo).</w:t>
      </w:r>
    </w:p>
    <w:p w14:paraId="0A790F69" w14:textId="77777777" w:rsidR="00DB4247" w:rsidRPr="00DB4247" w:rsidRDefault="00DB4247" w:rsidP="00DB4247">
      <w:pPr>
        <w:pStyle w:val="Corpotesto"/>
        <w:spacing w:before="4"/>
        <w:jc w:val="both"/>
        <w:rPr>
          <w:rFonts w:eastAsiaTheme="minorHAnsi"/>
          <w:sz w:val="22"/>
          <w:lang w:eastAsia="en-US"/>
        </w:rPr>
      </w:pPr>
    </w:p>
    <w:tbl>
      <w:tblPr>
        <w:tblStyle w:val="TableNormal"/>
        <w:tblW w:w="8124" w:type="dxa"/>
        <w:tblInd w:w="6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058"/>
        <w:gridCol w:w="2066"/>
      </w:tblGrid>
      <w:tr w:rsidR="00DB4247" w:rsidRPr="00DB4247" w14:paraId="527AB977" w14:textId="77777777" w:rsidTr="00304325">
        <w:trPr>
          <w:trHeight w:val="221"/>
        </w:trPr>
        <w:tc>
          <w:tcPr>
            <w:tcW w:w="6058" w:type="dxa"/>
          </w:tcPr>
          <w:p w14:paraId="6150E637" w14:textId="77777777" w:rsidR="00DB4247" w:rsidRPr="00DB4247" w:rsidRDefault="00DB4247" w:rsidP="00304325">
            <w:pPr>
              <w:pStyle w:val="TableParagraph"/>
              <w:spacing w:line="256" w:lineRule="exact"/>
              <w:ind w:left="0"/>
              <w:rPr>
                <w:rFonts w:eastAsiaTheme="minorHAnsi"/>
                <w:szCs w:val="24"/>
                <w:lang w:val="it-IT"/>
              </w:rPr>
            </w:pPr>
            <w:r w:rsidRPr="00DB4247">
              <w:rPr>
                <w:rFonts w:eastAsiaTheme="minorHAnsi"/>
                <w:szCs w:val="24"/>
                <w:lang w:val="it-IT"/>
              </w:rPr>
              <w:t>Anno 2026</w:t>
            </w:r>
          </w:p>
        </w:tc>
        <w:tc>
          <w:tcPr>
            <w:tcW w:w="2066" w:type="dxa"/>
          </w:tcPr>
          <w:p w14:paraId="779CB939" w14:textId="77777777" w:rsidR="00DB4247" w:rsidRPr="00DB4247" w:rsidRDefault="00DB4247" w:rsidP="00304325">
            <w:pPr>
              <w:pStyle w:val="TableParagraph"/>
              <w:spacing w:line="256" w:lineRule="exact"/>
              <w:ind w:left="0"/>
              <w:rPr>
                <w:rFonts w:eastAsiaTheme="minorHAnsi"/>
                <w:szCs w:val="24"/>
                <w:lang w:val="it-IT"/>
              </w:rPr>
            </w:pPr>
            <w:r w:rsidRPr="00DB4247">
              <w:rPr>
                <w:rFonts w:eastAsiaTheme="minorHAnsi"/>
                <w:szCs w:val="24"/>
                <w:lang w:val="it-IT"/>
              </w:rPr>
              <w:t>€   249.000,00</w:t>
            </w:r>
          </w:p>
        </w:tc>
      </w:tr>
      <w:tr w:rsidR="00DB4247" w:rsidRPr="00DB4247" w14:paraId="442F7B9B" w14:textId="77777777" w:rsidTr="00304325">
        <w:trPr>
          <w:trHeight w:val="222"/>
        </w:trPr>
        <w:tc>
          <w:tcPr>
            <w:tcW w:w="6058" w:type="dxa"/>
          </w:tcPr>
          <w:p w14:paraId="4929EA83" w14:textId="77777777" w:rsidR="00DB4247" w:rsidRPr="00DB4247" w:rsidRDefault="00DB4247" w:rsidP="00304325">
            <w:pPr>
              <w:pStyle w:val="TableParagraph"/>
              <w:spacing w:line="256" w:lineRule="exact"/>
              <w:ind w:left="0"/>
              <w:rPr>
                <w:rFonts w:eastAsiaTheme="minorHAnsi"/>
                <w:szCs w:val="24"/>
                <w:lang w:val="it-IT"/>
              </w:rPr>
            </w:pPr>
            <w:r w:rsidRPr="00DB4247">
              <w:rPr>
                <w:rFonts w:eastAsiaTheme="minorHAnsi"/>
                <w:szCs w:val="24"/>
                <w:lang w:val="it-IT"/>
              </w:rPr>
              <w:t>Anno 2027</w:t>
            </w:r>
          </w:p>
        </w:tc>
        <w:tc>
          <w:tcPr>
            <w:tcW w:w="2066" w:type="dxa"/>
          </w:tcPr>
          <w:p w14:paraId="68168D16" w14:textId="77777777" w:rsidR="00DB4247" w:rsidRPr="00DB4247" w:rsidRDefault="00DB4247" w:rsidP="00304325">
            <w:pPr>
              <w:pStyle w:val="TableParagraph"/>
              <w:spacing w:line="256" w:lineRule="exact"/>
              <w:ind w:left="0"/>
              <w:rPr>
                <w:rFonts w:eastAsiaTheme="minorHAnsi"/>
                <w:szCs w:val="24"/>
                <w:lang w:val="it-IT"/>
              </w:rPr>
            </w:pPr>
            <w:r w:rsidRPr="00DB4247">
              <w:rPr>
                <w:rFonts w:eastAsiaTheme="minorHAnsi"/>
                <w:szCs w:val="24"/>
                <w:lang w:val="it-IT"/>
              </w:rPr>
              <w:t>€   249.000,00</w:t>
            </w:r>
          </w:p>
        </w:tc>
      </w:tr>
      <w:tr w:rsidR="00DB4247" w:rsidRPr="00DB4247" w14:paraId="4537CBB3" w14:textId="77777777" w:rsidTr="00304325">
        <w:trPr>
          <w:trHeight w:val="221"/>
        </w:trPr>
        <w:tc>
          <w:tcPr>
            <w:tcW w:w="6058" w:type="dxa"/>
          </w:tcPr>
          <w:p w14:paraId="6CA5B163" w14:textId="77777777" w:rsidR="00DB4247" w:rsidRPr="00DB4247" w:rsidRDefault="00DB4247" w:rsidP="00304325">
            <w:pPr>
              <w:pStyle w:val="TableParagraph"/>
              <w:spacing w:line="256" w:lineRule="exact"/>
              <w:ind w:left="0"/>
              <w:rPr>
                <w:rFonts w:eastAsiaTheme="minorHAnsi"/>
                <w:szCs w:val="24"/>
                <w:lang w:val="it-IT"/>
              </w:rPr>
            </w:pPr>
            <w:r w:rsidRPr="00DB4247">
              <w:rPr>
                <w:rFonts w:eastAsiaTheme="minorHAnsi"/>
                <w:szCs w:val="24"/>
                <w:lang w:val="it-IT"/>
              </w:rPr>
              <w:t xml:space="preserve">Anno 2028 </w:t>
            </w:r>
          </w:p>
        </w:tc>
        <w:tc>
          <w:tcPr>
            <w:tcW w:w="2066" w:type="dxa"/>
          </w:tcPr>
          <w:p w14:paraId="2B931921" w14:textId="77777777" w:rsidR="00DB4247" w:rsidRPr="00DB4247" w:rsidRDefault="00DB4247" w:rsidP="00304325">
            <w:pPr>
              <w:pStyle w:val="TableParagraph"/>
              <w:spacing w:line="256" w:lineRule="exact"/>
              <w:ind w:left="0"/>
              <w:rPr>
                <w:rFonts w:eastAsiaTheme="minorHAnsi"/>
                <w:szCs w:val="24"/>
                <w:lang w:val="it-IT"/>
              </w:rPr>
            </w:pPr>
            <w:r w:rsidRPr="00DB4247">
              <w:rPr>
                <w:rFonts w:eastAsiaTheme="minorHAnsi"/>
                <w:szCs w:val="24"/>
                <w:lang w:val="it-IT"/>
              </w:rPr>
              <w:t>€   249.000,00</w:t>
            </w:r>
          </w:p>
        </w:tc>
      </w:tr>
      <w:tr w:rsidR="00DB4247" w:rsidRPr="00DB4247" w14:paraId="7495E68F" w14:textId="77777777" w:rsidTr="00304325">
        <w:trPr>
          <w:trHeight w:val="223"/>
        </w:trPr>
        <w:tc>
          <w:tcPr>
            <w:tcW w:w="6058" w:type="dxa"/>
          </w:tcPr>
          <w:p w14:paraId="088E5B29" w14:textId="77777777" w:rsidR="00DB4247" w:rsidRPr="00DB4247" w:rsidRDefault="00DB4247" w:rsidP="00304325">
            <w:pPr>
              <w:pStyle w:val="TableParagraph"/>
              <w:spacing w:line="258" w:lineRule="exact"/>
              <w:ind w:left="0"/>
              <w:rPr>
                <w:rFonts w:eastAsiaTheme="minorHAnsi"/>
                <w:szCs w:val="24"/>
                <w:lang w:val="it-IT"/>
              </w:rPr>
            </w:pPr>
            <w:r w:rsidRPr="00DB4247">
              <w:rPr>
                <w:rFonts w:eastAsiaTheme="minorHAnsi"/>
                <w:szCs w:val="24"/>
                <w:lang w:val="it-IT"/>
              </w:rPr>
              <w:t>Base di gara</w:t>
            </w:r>
          </w:p>
        </w:tc>
        <w:tc>
          <w:tcPr>
            <w:tcW w:w="2066" w:type="dxa"/>
          </w:tcPr>
          <w:p w14:paraId="584BF229" w14:textId="77777777" w:rsidR="00DB4247" w:rsidRPr="00DB4247" w:rsidRDefault="00DB4247" w:rsidP="00304325">
            <w:pPr>
              <w:pStyle w:val="TableParagraph"/>
              <w:tabs>
                <w:tab w:val="left" w:pos="707"/>
              </w:tabs>
              <w:spacing w:line="258" w:lineRule="exact"/>
              <w:ind w:left="0"/>
              <w:rPr>
                <w:rFonts w:eastAsiaTheme="minorHAnsi"/>
                <w:szCs w:val="24"/>
                <w:lang w:val="it-IT"/>
              </w:rPr>
            </w:pPr>
            <w:r w:rsidRPr="00DB4247">
              <w:rPr>
                <w:rFonts w:eastAsiaTheme="minorHAnsi"/>
                <w:szCs w:val="24"/>
                <w:lang w:val="it-IT"/>
              </w:rPr>
              <w:t>€   747.000,00</w:t>
            </w:r>
          </w:p>
        </w:tc>
      </w:tr>
      <w:tr w:rsidR="00DB4247" w:rsidRPr="00DB4247" w14:paraId="7E3F7142" w14:textId="77777777" w:rsidTr="00304325">
        <w:trPr>
          <w:trHeight w:val="223"/>
        </w:trPr>
        <w:tc>
          <w:tcPr>
            <w:tcW w:w="6058" w:type="dxa"/>
          </w:tcPr>
          <w:p w14:paraId="35BAE9B8" w14:textId="77777777" w:rsidR="00DB4247" w:rsidRPr="00DB4247" w:rsidRDefault="00DB4247" w:rsidP="00304325">
            <w:pPr>
              <w:pStyle w:val="TableParagraph"/>
              <w:spacing w:line="258" w:lineRule="exact"/>
              <w:ind w:left="0"/>
              <w:rPr>
                <w:rFonts w:eastAsiaTheme="minorHAnsi"/>
                <w:szCs w:val="24"/>
                <w:lang w:val="it-IT"/>
              </w:rPr>
            </w:pPr>
            <w:r w:rsidRPr="00DB4247">
              <w:rPr>
                <w:rFonts w:eastAsiaTheme="minorHAnsi"/>
                <w:szCs w:val="24"/>
                <w:lang w:val="it-IT"/>
              </w:rPr>
              <w:t>Costo sicurezza per interferenze (non soggetto a ribasso)</w:t>
            </w:r>
          </w:p>
        </w:tc>
        <w:tc>
          <w:tcPr>
            <w:tcW w:w="2066" w:type="dxa"/>
          </w:tcPr>
          <w:p w14:paraId="5EA515BA" w14:textId="6F24F6F1" w:rsidR="00DB4247" w:rsidRPr="00DB4247" w:rsidRDefault="007E2C6D" w:rsidP="00304325">
            <w:pPr>
              <w:pStyle w:val="TableParagraph"/>
              <w:tabs>
                <w:tab w:val="left" w:pos="707"/>
              </w:tabs>
              <w:spacing w:line="258" w:lineRule="exact"/>
              <w:ind w:left="0"/>
              <w:rPr>
                <w:rFonts w:eastAsiaTheme="minorHAnsi"/>
                <w:szCs w:val="24"/>
                <w:lang w:val="it-IT"/>
              </w:rPr>
            </w:pPr>
            <w:r>
              <w:rPr>
                <w:rFonts w:eastAsiaTheme="minorHAnsi"/>
                <w:szCs w:val="24"/>
                <w:lang w:val="it-IT"/>
              </w:rPr>
              <w:t>€          940,00</w:t>
            </w:r>
          </w:p>
        </w:tc>
      </w:tr>
      <w:tr w:rsidR="007E2C6D" w:rsidRPr="00DB4247" w14:paraId="063EB4D1" w14:textId="77777777" w:rsidTr="00304325">
        <w:trPr>
          <w:trHeight w:val="221"/>
        </w:trPr>
        <w:tc>
          <w:tcPr>
            <w:tcW w:w="6058" w:type="dxa"/>
          </w:tcPr>
          <w:p w14:paraId="47A43E29" w14:textId="507D11B1" w:rsidR="007E2C6D" w:rsidRDefault="007E2C6D" w:rsidP="00304325">
            <w:pPr>
              <w:pStyle w:val="TableParagraph"/>
              <w:spacing w:line="256" w:lineRule="exact"/>
              <w:ind w:left="0"/>
              <w:rPr>
                <w:rFonts w:eastAsiaTheme="minorHAnsi"/>
                <w:szCs w:val="24"/>
              </w:rPr>
            </w:pPr>
            <w:proofErr w:type="spellStart"/>
            <w:r>
              <w:rPr>
                <w:rFonts w:eastAsiaTheme="minorHAnsi"/>
                <w:szCs w:val="24"/>
              </w:rPr>
              <w:t>Totale</w:t>
            </w:r>
            <w:proofErr w:type="spellEnd"/>
            <w:r>
              <w:rPr>
                <w:rFonts w:eastAsiaTheme="minorHAnsi"/>
                <w:szCs w:val="24"/>
              </w:rPr>
              <w:t xml:space="preserve"> </w:t>
            </w:r>
            <w:proofErr w:type="spellStart"/>
            <w:r>
              <w:rPr>
                <w:rFonts w:eastAsiaTheme="minorHAnsi"/>
                <w:szCs w:val="24"/>
              </w:rPr>
              <w:t>valore</w:t>
            </w:r>
            <w:proofErr w:type="spellEnd"/>
            <w:r>
              <w:rPr>
                <w:rFonts w:eastAsiaTheme="minorHAnsi"/>
                <w:szCs w:val="24"/>
              </w:rPr>
              <w:t xml:space="preserve"> </w:t>
            </w:r>
            <w:proofErr w:type="spellStart"/>
            <w:r>
              <w:rPr>
                <w:rFonts w:eastAsiaTheme="minorHAnsi"/>
                <w:szCs w:val="24"/>
              </w:rPr>
              <w:t>appalto</w:t>
            </w:r>
            <w:proofErr w:type="spellEnd"/>
          </w:p>
        </w:tc>
        <w:tc>
          <w:tcPr>
            <w:tcW w:w="2066" w:type="dxa"/>
          </w:tcPr>
          <w:p w14:paraId="02F18317" w14:textId="3091B93C" w:rsidR="007E2C6D" w:rsidRDefault="007E2C6D" w:rsidP="00304325">
            <w:pPr>
              <w:pStyle w:val="TableParagraph"/>
              <w:spacing w:line="256" w:lineRule="exact"/>
              <w:ind w:left="0"/>
              <w:rPr>
                <w:rFonts w:eastAsiaTheme="minorHAnsi"/>
                <w:szCs w:val="24"/>
              </w:rPr>
            </w:pPr>
            <w:r>
              <w:rPr>
                <w:rFonts w:eastAsiaTheme="minorHAnsi"/>
                <w:szCs w:val="24"/>
              </w:rPr>
              <w:t>€   747.940,00</w:t>
            </w:r>
          </w:p>
        </w:tc>
      </w:tr>
      <w:tr w:rsidR="00F7614F" w:rsidRPr="00DB4247" w14:paraId="240A4412" w14:textId="77777777" w:rsidTr="00304325">
        <w:trPr>
          <w:trHeight w:val="221"/>
        </w:trPr>
        <w:tc>
          <w:tcPr>
            <w:tcW w:w="6058" w:type="dxa"/>
          </w:tcPr>
          <w:p w14:paraId="175AA4FE" w14:textId="5E9ABBF9" w:rsidR="00F7614F" w:rsidRPr="00DB4247" w:rsidRDefault="003A2DF5" w:rsidP="00304325">
            <w:pPr>
              <w:pStyle w:val="TableParagraph"/>
              <w:spacing w:line="256" w:lineRule="exact"/>
              <w:ind w:left="0"/>
              <w:rPr>
                <w:rFonts w:eastAsiaTheme="minorHAnsi"/>
                <w:szCs w:val="24"/>
              </w:rPr>
            </w:pPr>
            <w:r>
              <w:rPr>
                <w:rFonts w:eastAsiaTheme="minorHAnsi"/>
                <w:szCs w:val="24"/>
              </w:rPr>
              <w:t>Iva 5%</w:t>
            </w:r>
          </w:p>
        </w:tc>
        <w:tc>
          <w:tcPr>
            <w:tcW w:w="2066" w:type="dxa"/>
          </w:tcPr>
          <w:p w14:paraId="0B786012" w14:textId="13C18DC6" w:rsidR="00F7614F" w:rsidRPr="00DB4247" w:rsidRDefault="006315A0" w:rsidP="00304325">
            <w:pPr>
              <w:pStyle w:val="TableParagraph"/>
              <w:spacing w:line="256" w:lineRule="exact"/>
              <w:ind w:left="0"/>
              <w:rPr>
                <w:rFonts w:eastAsiaTheme="minorHAnsi"/>
                <w:szCs w:val="24"/>
              </w:rPr>
            </w:pPr>
            <w:r>
              <w:rPr>
                <w:rFonts w:eastAsiaTheme="minorHAnsi"/>
                <w:szCs w:val="24"/>
              </w:rPr>
              <w:t xml:space="preserve">€    </w:t>
            </w:r>
            <w:r w:rsidR="00430744">
              <w:rPr>
                <w:rFonts w:eastAsiaTheme="minorHAnsi"/>
                <w:szCs w:val="24"/>
              </w:rPr>
              <w:t xml:space="preserve"> </w:t>
            </w:r>
            <w:r w:rsidR="007E2C6D">
              <w:rPr>
                <w:rFonts w:eastAsiaTheme="minorHAnsi"/>
                <w:szCs w:val="24"/>
              </w:rPr>
              <w:t>37.397</w:t>
            </w:r>
            <w:r>
              <w:rPr>
                <w:rFonts w:eastAsiaTheme="minorHAnsi"/>
                <w:szCs w:val="24"/>
              </w:rPr>
              <w:t>,00</w:t>
            </w:r>
          </w:p>
        </w:tc>
      </w:tr>
      <w:tr w:rsidR="00F7614F" w:rsidRPr="00DB4247" w14:paraId="5878CFD1" w14:textId="77777777" w:rsidTr="00304325">
        <w:trPr>
          <w:trHeight w:val="221"/>
        </w:trPr>
        <w:tc>
          <w:tcPr>
            <w:tcW w:w="6058" w:type="dxa"/>
          </w:tcPr>
          <w:p w14:paraId="1D88D633" w14:textId="269B5396" w:rsidR="00F7614F" w:rsidRPr="00E827B2" w:rsidRDefault="003A2DF5" w:rsidP="00304325">
            <w:pPr>
              <w:pStyle w:val="TableParagraph"/>
              <w:spacing w:line="256" w:lineRule="exact"/>
              <w:ind w:left="0"/>
              <w:rPr>
                <w:rFonts w:eastAsiaTheme="minorHAnsi"/>
                <w:szCs w:val="24"/>
              </w:rPr>
            </w:pPr>
            <w:proofErr w:type="spellStart"/>
            <w:r w:rsidRPr="00E827B2">
              <w:rPr>
                <w:rFonts w:eastAsiaTheme="minorHAnsi"/>
                <w:szCs w:val="24"/>
              </w:rPr>
              <w:t>Contributo</w:t>
            </w:r>
            <w:proofErr w:type="spellEnd"/>
            <w:r w:rsidRPr="00E827B2">
              <w:rPr>
                <w:rFonts w:eastAsiaTheme="minorHAnsi"/>
                <w:szCs w:val="24"/>
              </w:rPr>
              <w:t xml:space="preserve"> ANAC</w:t>
            </w:r>
          </w:p>
        </w:tc>
        <w:tc>
          <w:tcPr>
            <w:tcW w:w="2066" w:type="dxa"/>
          </w:tcPr>
          <w:p w14:paraId="258E2045" w14:textId="233B5425" w:rsidR="00F7614F" w:rsidRPr="00E827B2" w:rsidRDefault="00430744" w:rsidP="00304325">
            <w:pPr>
              <w:pStyle w:val="TableParagraph"/>
              <w:spacing w:line="256" w:lineRule="exact"/>
              <w:ind w:left="0"/>
              <w:rPr>
                <w:rFonts w:eastAsiaTheme="minorHAnsi"/>
                <w:szCs w:val="24"/>
              </w:rPr>
            </w:pPr>
            <w:r w:rsidRPr="00E827B2">
              <w:rPr>
                <w:rFonts w:eastAsiaTheme="minorHAnsi"/>
                <w:szCs w:val="24"/>
              </w:rPr>
              <w:t>€</w:t>
            </w:r>
            <w:r w:rsidR="00667B32" w:rsidRPr="00E827B2">
              <w:rPr>
                <w:rFonts w:eastAsiaTheme="minorHAnsi"/>
                <w:szCs w:val="24"/>
              </w:rPr>
              <w:t xml:space="preserve"> </w:t>
            </w:r>
            <w:r w:rsidR="00E827B2" w:rsidRPr="00E827B2">
              <w:rPr>
                <w:rFonts w:eastAsiaTheme="minorHAnsi"/>
                <w:szCs w:val="24"/>
              </w:rPr>
              <w:t xml:space="preserve">     </w:t>
            </w:r>
            <w:r w:rsidR="00734D85">
              <w:rPr>
                <w:rFonts w:eastAsiaTheme="minorHAnsi"/>
                <w:szCs w:val="24"/>
              </w:rPr>
              <w:t xml:space="preserve"> </w:t>
            </w:r>
            <w:r w:rsidR="00E827B2" w:rsidRPr="00E827B2">
              <w:rPr>
                <w:rFonts w:eastAsiaTheme="minorHAnsi"/>
                <w:szCs w:val="24"/>
              </w:rPr>
              <w:t xml:space="preserve">  </w:t>
            </w:r>
            <w:r w:rsidR="00667B32" w:rsidRPr="00E827B2">
              <w:rPr>
                <w:rFonts w:eastAsiaTheme="minorHAnsi"/>
                <w:szCs w:val="24"/>
              </w:rPr>
              <w:t xml:space="preserve"> 410,00</w:t>
            </w:r>
          </w:p>
        </w:tc>
      </w:tr>
      <w:tr w:rsidR="00F7614F" w:rsidRPr="00DB4247" w14:paraId="069EEB25" w14:textId="77777777" w:rsidTr="00304325">
        <w:trPr>
          <w:trHeight w:val="221"/>
        </w:trPr>
        <w:tc>
          <w:tcPr>
            <w:tcW w:w="6058" w:type="dxa"/>
          </w:tcPr>
          <w:p w14:paraId="209F9469" w14:textId="59A433D5" w:rsidR="00F7614F" w:rsidRPr="00E827B2" w:rsidRDefault="003A2DF5" w:rsidP="00304325">
            <w:pPr>
              <w:pStyle w:val="TableParagraph"/>
              <w:spacing w:line="256" w:lineRule="exact"/>
              <w:ind w:left="0"/>
              <w:rPr>
                <w:rFonts w:eastAsiaTheme="minorHAnsi"/>
                <w:szCs w:val="24"/>
              </w:rPr>
            </w:pPr>
            <w:proofErr w:type="spellStart"/>
            <w:r w:rsidRPr="00E827B2">
              <w:rPr>
                <w:rFonts w:eastAsiaTheme="minorHAnsi"/>
                <w:szCs w:val="24"/>
              </w:rPr>
              <w:t>Spese</w:t>
            </w:r>
            <w:proofErr w:type="spellEnd"/>
            <w:r w:rsidRPr="00E827B2">
              <w:rPr>
                <w:rFonts w:eastAsiaTheme="minorHAnsi"/>
                <w:szCs w:val="24"/>
              </w:rPr>
              <w:t xml:space="preserve"> per </w:t>
            </w:r>
            <w:proofErr w:type="spellStart"/>
            <w:r w:rsidRPr="00E827B2">
              <w:rPr>
                <w:rFonts w:eastAsiaTheme="minorHAnsi"/>
                <w:szCs w:val="24"/>
              </w:rPr>
              <w:t>incentiv</w:t>
            </w:r>
            <w:r w:rsidR="00E827B2" w:rsidRPr="00E827B2">
              <w:rPr>
                <w:rFonts w:eastAsiaTheme="minorHAnsi"/>
                <w:szCs w:val="24"/>
              </w:rPr>
              <w:t>i</w:t>
            </w:r>
            <w:proofErr w:type="spellEnd"/>
            <w:r w:rsidRPr="00E827B2">
              <w:rPr>
                <w:rFonts w:eastAsiaTheme="minorHAnsi"/>
                <w:szCs w:val="24"/>
              </w:rPr>
              <w:t xml:space="preserve"> alle </w:t>
            </w:r>
            <w:proofErr w:type="spellStart"/>
            <w:r w:rsidRPr="00E827B2">
              <w:rPr>
                <w:rFonts w:eastAsiaTheme="minorHAnsi"/>
                <w:szCs w:val="24"/>
              </w:rPr>
              <w:t>funzioni</w:t>
            </w:r>
            <w:proofErr w:type="spellEnd"/>
            <w:r w:rsidRPr="00E827B2">
              <w:rPr>
                <w:rFonts w:eastAsiaTheme="minorHAnsi"/>
                <w:szCs w:val="24"/>
              </w:rPr>
              <w:t xml:space="preserve"> </w:t>
            </w:r>
            <w:proofErr w:type="spellStart"/>
            <w:r w:rsidRPr="00E827B2">
              <w:rPr>
                <w:rFonts w:eastAsiaTheme="minorHAnsi"/>
                <w:szCs w:val="24"/>
              </w:rPr>
              <w:t>tecniche</w:t>
            </w:r>
            <w:proofErr w:type="spellEnd"/>
            <w:r w:rsidRPr="00E827B2">
              <w:rPr>
                <w:rFonts w:eastAsiaTheme="minorHAnsi"/>
                <w:szCs w:val="24"/>
              </w:rPr>
              <w:t xml:space="preserve">, ex art. 45 del D. </w:t>
            </w:r>
            <w:proofErr w:type="spellStart"/>
            <w:r w:rsidRPr="00E827B2">
              <w:rPr>
                <w:rFonts w:eastAsiaTheme="minorHAnsi"/>
                <w:szCs w:val="24"/>
              </w:rPr>
              <w:t>Lgs</w:t>
            </w:r>
            <w:proofErr w:type="spellEnd"/>
            <w:r w:rsidRPr="00E827B2">
              <w:rPr>
                <w:rFonts w:eastAsiaTheme="minorHAnsi"/>
                <w:szCs w:val="24"/>
              </w:rPr>
              <w:t>. 36/2023</w:t>
            </w:r>
          </w:p>
        </w:tc>
        <w:tc>
          <w:tcPr>
            <w:tcW w:w="2066" w:type="dxa"/>
          </w:tcPr>
          <w:p w14:paraId="250D345F" w14:textId="3617DF3E" w:rsidR="00F7614F" w:rsidRPr="00E827B2" w:rsidRDefault="001C3355" w:rsidP="00304325">
            <w:pPr>
              <w:pStyle w:val="TableParagraph"/>
              <w:spacing w:line="256" w:lineRule="exact"/>
              <w:ind w:left="0"/>
              <w:rPr>
                <w:rFonts w:eastAsiaTheme="minorHAnsi"/>
                <w:szCs w:val="24"/>
              </w:rPr>
            </w:pPr>
            <w:r w:rsidRPr="00E827B2">
              <w:rPr>
                <w:rFonts w:eastAsiaTheme="minorHAnsi"/>
                <w:szCs w:val="24"/>
              </w:rPr>
              <w:t xml:space="preserve">€ </w:t>
            </w:r>
            <w:r w:rsidR="00430744" w:rsidRPr="00E827B2">
              <w:rPr>
                <w:rFonts w:eastAsiaTheme="minorHAnsi"/>
                <w:szCs w:val="24"/>
              </w:rPr>
              <w:t xml:space="preserve">  </w:t>
            </w:r>
            <w:r w:rsidR="00734D85">
              <w:rPr>
                <w:rFonts w:eastAsiaTheme="minorHAnsi"/>
                <w:szCs w:val="24"/>
              </w:rPr>
              <w:t xml:space="preserve"> </w:t>
            </w:r>
            <w:r w:rsidR="00430744" w:rsidRPr="00E827B2">
              <w:rPr>
                <w:rFonts w:eastAsiaTheme="minorHAnsi"/>
                <w:szCs w:val="24"/>
              </w:rPr>
              <w:t xml:space="preserve"> </w:t>
            </w:r>
            <w:r w:rsidRPr="00E827B2">
              <w:rPr>
                <w:rFonts w:eastAsiaTheme="minorHAnsi"/>
                <w:szCs w:val="24"/>
              </w:rPr>
              <w:t>14.</w:t>
            </w:r>
            <w:r w:rsidR="007E2C6D" w:rsidRPr="00E827B2">
              <w:rPr>
                <w:rFonts w:eastAsiaTheme="minorHAnsi"/>
                <w:szCs w:val="24"/>
              </w:rPr>
              <w:t>958,</w:t>
            </w:r>
            <w:r w:rsidR="00E827B2" w:rsidRPr="00E827B2">
              <w:rPr>
                <w:rFonts w:eastAsiaTheme="minorHAnsi"/>
                <w:szCs w:val="24"/>
              </w:rPr>
              <w:t>8</w:t>
            </w:r>
            <w:r w:rsidRPr="00E827B2">
              <w:rPr>
                <w:rFonts w:eastAsiaTheme="minorHAnsi"/>
                <w:szCs w:val="24"/>
              </w:rPr>
              <w:t>0</w:t>
            </w:r>
          </w:p>
        </w:tc>
      </w:tr>
    </w:tbl>
    <w:p w14:paraId="50893054" w14:textId="77777777" w:rsidR="00032BD7" w:rsidRPr="00DB4247" w:rsidRDefault="00032BD7" w:rsidP="00032BD7">
      <w:pPr>
        <w:spacing w:after="3" w:line="258" w:lineRule="auto"/>
        <w:ind w:right="-2"/>
        <w:jc w:val="both"/>
        <w:rPr>
          <w:rFonts w:ascii="Times New Roman" w:hAnsi="Times New Roman" w:cs="Times New Roman"/>
          <w:szCs w:val="24"/>
        </w:rPr>
      </w:pPr>
    </w:p>
    <w:p w14:paraId="0E1ED4BC" w14:textId="77777777" w:rsidR="00032BD7" w:rsidRPr="00DB4247" w:rsidRDefault="00032BD7" w:rsidP="00032BD7">
      <w:pPr>
        <w:spacing w:after="3" w:line="258" w:lineRule="auto"/>
        <w:ind w:right="-2"/>
        <w:jc w:val="both"/>
        <w:rPr>
          <w:rFonts w:ascii="Times New Roman" w:hAnsi="Times New Roman" w:cs="Times New Roman"/>
          <w:szCs w:val="24"/>
        </w:rPr>
      </w:pPr>
    </w:p>
    <w:p w14:paraId="49048314" w14:textId="541878A1" w:rsidR="006E6102" w:rsidRDefault="006E6102" w:rsidP="00032BD7">
      <w:pPr>
        <w:spacing w:after="3" w:line="258" w:lineRule="auto"/>
        <w:ind w:right="-2"/>
        <w:jc w:val="both"/>
        <w:rPr>
          <w:rFonts w:ascii="Times New Roman" w:hAnsi="Times New Roman" w:cs="Times New Roman"/>
          <w:b/>
          <w:bCs/>
          <w:szCs w:val="24"/>
        </w:rPr>
      </w:pPr>
      <w:r w:rsidRPr="00A90EDA">
        <w:rPr>
          <w:rFonts w:ascii="Times New Roman" w:hAnsi="Times New Roman" w:cs="Times New Roman"/>
          <w:b/>
          <w:bCs/>
          <w:szCs w:val="24"/>
        </w:rPr>
        <w:t xml:space="preserve">DURATA </w:t>
      </w:r>
    </w:p>
    <w:p w14:paraId="3B7CF874" w14:textId="77777777" w:rsidR="00E827B2" w:rsidRPr="00E827B2" w:rsidRDefault="00E827B2" w:rsidP="00E827B2">
      <w:pPr>
        <w:spacing w:line="240" w:lineRule="auto"/>
        <w:jc w:val="both"/>
        <w:rPr>
          <w:rFonts w:ascii="Times New Roman" w:hAnsi="Times New Roman" w:cs="Times New Roman"/>
          <w:szCs w:val="24"/>
        </w:rPr>
      </w:pPr>
      <w:r w:rsidRPr="00E827B2">
        <w:rPr>
          <w:rFonts w:ascii="Times New Roman" w:hAnsi="Times New Roman" w:cs="Times New Roman"/>
          <w:szCs w:val="24"/>
        </w:rPr>
        <w:t>La durata dell’appalto è di 31 mesi, decorrenti dalla data del 01.06.2026 e fino al 31.12.2028.</w:t>
      </w:r>
    </w:p>
    <w:p w14:paraId="363FCF67" w14:textId="445446CB" w:rsidR="006E6102" w:rsidRPr="006E6102" w:rsidRDefault="00E827B2" w:rsidP="00E827B2">
      <w:pPr>
        <w:spacing w:line="240" w:lineRule="auto"/>
        <w:jc w:val="both"/>
        <w:rPr>
          <w:rFonts w:ascii="Times New Roman" w:eastAsia="SimSun" w:hAnsi="Times New Roman" w:cs="Arial"/>
          <w:kern w:val="3"/>
          <w:sz w:val="24"/>
          <w:szCs w:val="24"/>
          <w:lang w:eastAsia="zh-CN" w:bidi="hi-IN"/>
        </w:rPr>
      </w:pPr>
      <w:r w:rsidRPr="00E827B2">
        <w:rPr>
          <w:rFonts w:ascii="Times New Roman" w:hAnsi="Times New Roman" w:cs="Times New Roman"/>
          <w:szCs w:val="24"/>
        </w:rPr>
        <w:t xml:space="preserve">È facoltà del Comune di Lissone procedere in via d’urgenza alla consegna del servizio, anche nelle more della stipulazione formale del contratto, ai sensi dell’art. 17, commi 8 e 9, del </w:t>
      </w:r>
      <w:proofErr w:type="spellStart"/>
      <w:r w:rsidRPr="00E827B2">
        <w:rPr>
          <w:rFonts w:ascii="Times New Roman" w:hAnsi="Times New Roman" w:cs="Times New Roman"/>
          <w:szCs w:val="24"/>
        </w:rPr>
        <w:t>D.Lgs.</w:t>
      </w:r>
      <w:proofErr w:type="spellEnd"/>
      <w:r w:rsidRPr="00E827B2">
        <w:rPr>
          <w:rFonts w:ascii="Times New Roman" w:hAnsi="Times New Roman" w:cs="Times New Roman"/>
          <w:szCs w:val="24"/>
        </w:rPr>
        <w:t xml:space="preserve"> n. 36/2023.</w:t>
      </w:r>
    </w:p>
    <w:sectPr w:rsidR="006E6102" w:rsidRPr="006E6102" w:rsidSect="00E56837">
      <w:pgSz w:w="11906" w:h="16838"/>
      <w:pgMar w:top="1417" w:right="991"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charset w:val="00"/>
    <w:family w:val="auto"/>
    <w:pitch w:val="variable"/>
    <w:sig w:usb0="800000AF" w:usb1="1001ECEA" w:usb2="00000000" w:usb3="00000000" w:csb0="8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8B16AA"/>
    <w:multiLevelType w:val="hybridMultilevel"/>
    <w:tmpl w:val="5A4CAC7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 w15:restartNumberingAfterBreak="0">
    <w:nsid w:val="1ACC3D47"/>
    <w:multiLevelType w:val="hybridMultilevel"/>
    <w:tmpl w:val="3D2E8EA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 w15:restartNumberingAfterBreak="0">
    <w:nsid w:val="2A0A7CA8"/>
    <w:multiLevelType w:val="hybridMultilevel"/>
    <w:tmpl w:val="0D826F0A"/>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 w15:restartNumberingAfterBreak="0">
    <w:nsid w:val="42736EB9"/>
    <w:multiLevelType w:val="hybridMultilevel"/>
    <w:tmpl w:val="3A02C53A"/>
    <w:lvl w:ilvl="0" w:tplc="F294D0EE">
      <w:numFmt w:val="bullet"/>
      <w:lvlText w:val="-"/>
      <w:lvlJc w:val="left"/>
      <w:pPr>
        <w:tabs>
          <w:tab w:val="num" w:pos="360"/>
        </w:tabs>
        <w:ind w:left="360" w:hanging="360"/>
      </w:pPr>
      <w:rPr>
        <w:rFonts w:ascii="Times New Roman" w:eastAsia="Times New Roman" w:hAnsi="Times New Roman" w:cs="Times New Roman" w:hint="default"/>
      </w:rPr>
    </w:lvl>
    <w:lvl w:ilvl="1" w:tplc="04100003" w:tentative="1">
      <w:start w:val="1"/>
      <w:numFmt w:val="bullet"/>
      <w:lvlText w:val="o"/>
      <w:lvlJc w:val="left"/>
      <w:pPr>
        <w:tabs>
          <w:tab w:val="num" w:pos="1080"/>
        </w:tabs>
        <w:ind w:left="1080" w:hanging="360"/>
      </w:pPr>
      <w:rPr>
        <w:rFonts w:ascii="Courier New" w:hAnsi="Courier New" w:cs="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517C3D2F"/>
    <w:multiLevelType w:val="hybridMultilevel"/>
    <w:tmpl w:val="634A6C30"/>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5" w15:restartNumberingAfterBreak="0">
    <w:nsid w:val="53342D9B"/>
    <w:multiLevelType w:val="multilevel"/>
    <w:tmpl w:val="7F26663A"/>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6" w15:restartNumberingAfterBreak="0">
    <w:nsid w:val="659270E9"/>
    <w:multiLevelType w:val="multilevel"/>
    <w:tmpl w:val="DC8CA9DA"/>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604849466">
    <w:abstractNumId w:val="6"/>
  </w:num>
  <w:num w:numId="2" w16cid:durableId="404499611">
    <w:abstractNumId w:val="5"/>
  </w:num>
  <w:num w:numId="3" w16cid:durableId="469203550">
    <w:abstractNumId w:val="3"/>
  </w:num>
  <w:num w:numId="4" w16cid:durableId="1164736345">
    <w:abstractNumId w:val="2"/>
  </w:num>
  <w:num w:numId="5" w16cid:durableId="784156743">
    <w:abstractNumId w:val="1"/>
  </w:num>
  <w:num w:numId="6" w16cid:durableId="1699815001">
    <w:abstractNumId w:val="0"/>
  </w:num>
  <w:num w:numId="7" w16cid:durableId="17968256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15FA"/>
    <w:rsid w:val="00001F4A"/>
    <w:rsid w:val="0002306D"/>
    <w:rsid w:val="00027051"/>
    <w:rsid w:val="00032BD7"/>
    <w:rsid w:val="00042A02"/>
    <w:rsid w:val="0005139C"/>
    <w:rsid w:val="00051C9D"/>
    <w:rsid w:val="00064275"/>
    <w:rsid w:val="00075DA0"/>
    <w:rsid w:val="0007648A"/>
    <w:rsid w:val="00085601"/>
    <w:rsid w:val="00090EA7"/>
    <w:rsid w:val="000A2CD8"/>
    <w:rsid w:val="000B343C"/>
    <w:rsid w:val="000B44C9"/>
    <w:rsid w:val="000B61F5"/>
    <w:rsid w:val="000C1ED3"/>
    <w:rsid w:val="000C3007"/>
    <w:rsid w:val="000C5DED"/>
    <w:rsid w:val="000D092F"/>
    <w:rsid w:val="000D465E"/>
    <w:rsid w:val="000E1E44"/>
    <w:rsid w:val="000F5F37"/>
    <w:rsid w:val="001044F2"/>
    <w:rsid w:val="0011032C"/>
    <w:rsid w:val="00113A09"/>
    <w:rsid w:val="00117BDA"/>
    <w:rsid w:val="001200DF"/>
    <w:rsid w:val="00136472"/>
    <w:rsid w:val="001434A2"/>
    <w:rsid w:val="00156846"/>
    <w:rsid w:val="00172A7D"/>
    <w:rsid w:val="001A7BB7"/>
    <w:rsid w:val="001C3355"/>
    <w:rsid w:val="001F6FA9"/>
    <w:rsid w:val="00202E4A"/>
    <w:rsid w:val="002033D1"/>
    <w:rsid w:val="002412E1"/>
    <w:rsid w:val="00253FCE"/>
    <w:rsid w:val="00261A65"/>
    <w:rsid w:val="00261D95"/>
    <w:rsid w:val="00267A14"/>
    <w:rsid w:val="0027177F"/>
    <w:rsid w:val="0027304F"/>
    <w:rsid w:val="00280301"/>
    <w:rsid w:val="00280614"/>
    <w:rsid w:val="00286455"/>
    <w:rsid w:val="00293518"/>
    <w:rsid w:val="002A4BB6"/>
    <w:rsid w:val="002B04AA"/>
    <w:rsid w:val="002D2C90"/>
    <w:rsid w:val="002E22D2"/>
    <w:rsid w:val="002E2F9A"/>
    <w:rsid w:val="00302A65"/>
    <w:rsid w:val="00304A2E"/>
    <w:rsid w:val="003066BA"/>
    <w:rsid w:val="003244A3"/>
    <w:rsid w:val="00335E2F"/>
    <w:rsid w:val="00343C9F"/>
    <w:rsid w:val="003548E8"/>
    <w:rsid w:val="00370BD3"/>
    <w:rsid w:val="003762C3"/>
    <w:rsid w:val="00381043"/>
    <w:rsid w:val="00395AFD"/>
    <w:rsid w:val="00395BE4"/>
    <w:rsid w:val="003A2DF5"/>
    <w:rsid w:val="003B273F"/>
    <w:rsid w:val="003C7843"/>
    <w:rsid w:val="003D5B70"/>
    <w:rsid w:val="003D7617"/>
    <w:rsid w:val="003E7E27"/>
    <w:rsid w:val="00401A0A"/>
    <w:rsid w:val="004055C2"/>
    <w:rsid w:val="004137ED"/>
    <w:rsid w:val="00416AC5"/>
    <w:rsid w:val="00424D54"/>
    <w:rsid w:val="00430744"/>
    <w:rsid w:val="0044131E"/>
    <w:rsid w:val="00454ABE"/>
    <w:rsid w:val="00456927"/>
    <w:rsid w:val="00462081"/>
    <w:rsid w:val="0046469E"/>
    <w:rsid w:val="004647F5"/>
    <w:rsid w:val="00467040"/>
    <w:rsid w:val="00470390"/>
    <w:rsid w:val="004750F4"/>
    <w:rsid w:val="004759FF"/>
    <w:rsid w:val="0048080B"/>
    <w:rsid w:val="004904E0"/>
    <w:rsid w:val="004922A8"/>
    <w:rsid w:val="00493B4B"/>
    <w:rsid w:val="00495368"/>
    <w:rsid w:val="004A3EA5"/>
    <w:rsid w:val="004B2308"/>
    <w:rsid w:val="004D0AAE"/>
    <w:rsid w:val="004D0B46"/>
    <w:rsid w:val="004D40D4"/>
    <w:rsid w:val="004F4C65"/>
    <w:rsid w:val="005011C5"/>
    <w:rsid w:val="005021F5"/>
    <w:rsid w:val="0052206D"/>
    <w:rsid w:val="0052390C"/>
    <w:rsid w:val="0052746E"/>
    <w:rsid w:val="00573783"/>
    <w:rsid w:val="005776E8"/>
    <w:rsid w:val="0058218F"/>
    <w:rsid w:val="00586067"/>
    <w:rsid w:val="005905CB"/>
    <w:rsid w:val="005940E4"/>
    <w:rsid w:val="00595773"/>
    <w:rsid w:val="00596515"/>
    <w:rsid w:val="005A6494"/>
    <w:rsid w:val="005B2933"/>
    <w:rsid w:val="005B4EAD"/>
    <w:rsid w:val="005F5C9D"/>
    <w:rsid w:val="006000F3"/>
    <w:rsid w:val="00604C9F"/>
    <w:rsid w:val="0062007E"/>
    <w:rsid w:val="00620EE4"/>
    <w:rsid w:val="00625C32"/>
    <w:rsid w:val="006315A0"/>
    <w:rsid w:val="006343AF"/>
    <w:rsid w:val="00647BD4"/>
    <w:rsid w:val="00652C36"/>
    <w:rsid w:val="006554AB"/>
    <w:rsid w:val="006634F0"/>
    <w:rsid w:val="00667B32"/>
    <w:rsid w:val="0068684E"/>
    <w:rsid w:val="006918BD"/>
    <w:rsid w:val="00694810"/>
    <w:rsid w:val="00697F1C"/>
    <w:rsid w:val="006A0344"/>
    <w:rsid w:val="006A4003"/>
    <w:rsid w:val="006B20E4"/>
    <w:rsid w:val="006E093A"/>
    <w:rsid w:val="006E6102"/>
    <w:rsid w:val="006E6700"/>
    <w:rsid w:val="006F207D"/>
    <w:rsid w:val="007044F4"/>
    <w:rsid w:val="0072460D"/>
    <w:rsid w:val="007315B9"/>
    <w:rsid w:val="00734D85"/>
    <w:rsid w:val="007426BE"/>
    <w:rsid w:val="0074642A"/>
    <w:rsid w:val="0075206F"/>
    <w:rsid w:val="00755FA9"/>
    <w:rsid w:val="0076101D"/>
    <w:rsid w:val="00766739"/>
    <w:rsid w:val="00766D4F"/>
    <w:rsid w:val="007932DC"/>
    <w:rsid w:val="007B3923"/>
    <w:rsid w:val="007B748F"/>
    <w:rsid w:val="007C4CE2"/>
    <w:rsid w:val="007C7F21"/>
    <w:rsid w:val="007D3BD6"/>
    <w:rsid w:val="007E2C6D"/>
    <w:rsid w:val="007F7077"/>
    <w:rsid w:val="008058AE"/>
    <w:rsid w:val="00815A2A"/>
    <w:rsid w:val="00820E4F"/>
    <w:rsid w:val="00821265"/>
    <w:rsid w:val="0083626A"/>
    <w:rsid w:val="00840C2C"/>
    <w:rsid w:val="00852436"/>
    <w:rsid w:val="00864887"/>
    <w:rsid w:val="00886464"/>
    <w:rsid w:val="00886BB8"/>
    <w:rsid w:val="00890FE7"/>
    <w:rsid w:val="008B03DF"/>
    <w:rsid w:val="008B5B7D"/>
    <w:rsid w:val="008B79B3"/>
    <w:rsid w:val="008C016D"/>
    <w:rsid w:val="008C43D9"/>
    <w:rsid w:val="008E5869"/>
    <w:rsid w:val="009277D7"/>
    <w:rsid w:val="00955CD2"/>
    <w:rsid w:val="00961A83"/>
    <w:rsid w:val="00985837"/>
    <w:rsid w:val="00992DD3"/>
    <w:rsid w:val="009A3D98"/>
    <w:rsid w:val="009A5785"/>
    <w:rsid w:val="009B0031"/>
    <w:rsid w:val="009B22EC"/>
    <w:rsid w:val="009B4D22"/>
    <w:rsid w:val="009B6F47"/>
    <w:rsid w:val="009C50E8"/>
    <w:rsid w:val="009C6CDF"/>
    <w:rsid w:val="009D1580"/>
    <w:rsid w:val="009D4A3E"/>
    <w:rsid w:val="009D54B0"/>
    <w:rsid w:val="009D5B4E"/>
    <w:rsid w:val="009F2674"/>
    <w:rsid w:val="009F38D4"/>
    <w:rsid w:val="00A00C86"/>
    <w:rsid w:val="00A11499"/>
    <w:rsid w:val="00A13331"/>
    <w:rsid w:val="00A13AC5"/>
    <w:rsid w:val="00A36233"/>
    <w:rsid w:val="00A44953"/>
    <w:rsid w:val="00A449AB"/>
    <w:rsid w:val="00A60680"/>
    <w:rsid w:val="00A64841"/>
    <w:rsid w:val="00A64C79"/>
    <w:rsid w:val="00A8725B"/>
    <w:rsid w:val="00A90EDA"/>
    <w:rsid w:val="00A91283"/>
    <w:rsid w:val="00AA23F2"/>
    <w:rsid w:val="00AA55F8"/>
    <w:rsid w:val="00AB0A90"/>
    <w:rsid w:val="00AB74B2"/>
    <w:rsid w:val="00AC187D"/>
    <w:rsid w:val="00AD4D2F"/>
    <w:rsid w:val="00AE2853"/>
    <w:rsid w:val="00AE3E9D"/>
    <w:rsid w:val="00AF3ECF"/>
    <w:rsid w:val="00B05608"/>
    <w:rsid w:val="00B06E71"/>
    <w:rsid w:val="00B17E36"/>
    <w:rsid w:val="00B17E64"/>
    <w:rsid w:val="00B27D78"/>
    <w:rsid w:val="00B50D60"/>
    <w:rsid w:val="00B6729B"/>
    <w:rsid w:val="00B71FE1"/>
    <w:rsid w:val="00B82FBD"/>
    <w:rsid w:val="00B848DB"/>
    <w:rsid w:val="00B93B2D"/>
    <w:rsid w:val="00BD16BB"/>
    <w:rsid w:val="00BF5EB2"/>
    <w:rsid w:val="00C12471"/>
    <w:rsid w:val="00C15ACE"/>
    <w:rsid w:val="00C221B1"/>
    <w:rsid w:val="00C23C6B"/>
    <w:rsid w:val="00C24232"/>
    <w:rsid w:val="00C331E1"/>
    <w:rsid w:val="00C6070C"/>
    <w:rsid w:val="00C7630E"/>
    <w:rsid w:val="00C84E1F"/>
    <w:rsid w:val="00C936EC"/>
    <w:rsid w:val="00CA57F3"/>
    <w:rsid w:val="00CB2E37"/>
    <w:rsid w:val="00CB2E39"/>
    <w:rsid w:val="00CC6544"/>
    <w:rsid w:val="00CE0C4D"/>
    <w:rsid w:val="00CF5322"/>
    <w:rsid w:val="00CF6C30"/>
    <w:rsid w:val="00CF6DC5"/>
    <w:rsid w:val="00D01F90"/>
    <w:rsid w:val="00D07FD1"/>
    <w:rsid w:val="00D17B09"/>
    <w:rsid w:val="00D22439"/>
    <w:rsid w:val="00D300B9"/>
    <w:rsid w:val="00D4080F"/>
    <w:rsid w:val="00D414BC"/>
    <w:rsid w:val="00D47042"/>
    <w:rsid w:val="00D55BF5"/>
    <w:rsid w:val="00D71D71"/>
    <w:rsid w:val="00D85714"/>
    <w:rsid w:val="00D913C1"/>
    <w:rsid w:val="00DA1BE8"/>
    <w:rsid w:val="00DB4247"/>
    <w:rsid w:val="00DB4973"/>
    <w:rsid w:val="00DB6BA1"/>
    <w:rsid w:val="00DB7C93"/>
    <w:rsid w:val="00DC0CDA"/>
    <w:rsid w:val="00DD1FB3"/>
    <w:rsid w:val="00E141FF"/>
    <w:rsid w:val="00E20A1E"/>
    <w:rsid w:val="00E25B14"/>
    <w:rsid w:val="00E30311"/>
    <w:rsid w:val="00E415FA"/>
    <w:rsid w:val="00E42E2A"/>
    <w:rsid w:val="00E56837"/>
    <w:rsid w:val="00E80741"/>
    <w:rsid w:val="00E81B87"/>
    <w:rsid w:val="00E8252B"/>
    <w:rsid w:val="00E827B2"/>
    <w:rsid w:val="00E8668B"/>
    <w:rsid w:val="00E93067"/>
    <w:rsid w:val="00E95EC6"/>
    <w:rsid w:val="00EA4A50"/>
    <w:rsid w:val="00EA6CEF"/>
    <w:rsid w:val="00EC7236"/>
    <w:rsid w:val="00F06692"/>
    <w:rsid w:val="00F40194"/>
    <w:rsid w:val="00F43D1A"/>
    <w:rsid w:val="00F43E6C"/>
    <w:rsid w:val="00F540E1"/>
    <w:rsid w:val="00F639F4"/>
    <w:rsid w:val="00F7219B"/>
    <w:rsid w:val="00F7614F"/>
    <w:rsid w:val="00F87E3A"/>
    <w:rsid w:val="00F93AEC"/>
    <w:rsid w:val="00F94940"/>
    <w:rsid w:val="00FA11EE"/>
    <w:rsid w:val="00FA5373"/>
    <w:rsid w:val="00FA7F7E"/>
    <w:rsid w:val="00FB47CE"/>
    <w:rsid w:val="00FB5A7F"/>
    <w:rsid w:val="00FF5488"/>
    <w:rsid w:val="00FF61B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3194DD"/>
  <w15:docId w15:val="{9710236F-6DF6-4BB7-906B-BBE5460CD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2">
    <w:name w:val="heading 2"/>
    <w:basedOn w:val="Normale"/>
    <w:next w:val="Normale"/>
    <w:link w:val="Titolo2Carattere"/>
    <w:uiPriority w:val="9"/>
    <w:semiHidden/>
    <w:unhideWhenUsed/>
    <w:qFormat/>
    <w:rsid w:val="00D8571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olo3">
    <w:name w:val="heading 3"/>
    <w:basedOn w:val="Normale"/>
    <w:next w:val="Normale"/>
    <w:link w:val="Titolo3Carattere"/>
    <w:uiPriority w:val="9"/>
    <w:semiHidden/>
    <w:unhideWhenUsed/>
    <w:qFormat/>
    <w:rsid w:val="008C016D"/>
    <w:pPr>
      <w:keepNext/>
      <w:keepLines/>
      <w:spacing w:before="200"/>
      <w:outlineLvl w:val="2"/>
    </w:pPr>
    <w:rPr>
      <w:rFonts w:asciiTheme="majorHAnsi" w:eastAsiaTheme="majorEastAsia" w:hAnsiTheme="majorHAnsi" w:cstheme="majorBidi"/>
      <w:b/>
      <w:bCs/>
      <w:color w:val="4F81BD" w:themeColor="accent1"/>
    </w:rPr>
  </w:style>
  <w:style w:type="paragraph" w:styleId="Titolo8">
    <w:name w:val="heading 8"/>
    <w:basedOn w:val="Normale"/>
    <w:next w:val="Normale"/>
    <w:link w:val="Titolo8Carattere"/>
    <w:uiPriority w:val="99"/>
    <w:unhideWhenUsed/>
    <w:qFormat/>
    <w:rsid w:val="00335E2F"/>
    <w:pPr>
      <w:keepNext/>
      <w:tabs>
        <w:tab w:val="left" w:pos="284"/>
        <w:tab w:val="left" w:pos="6379"/>
      </w:tabs>
      <w:overflowPunct w:val="0"/>
      <w:autoSpaceDE w:val="0"/>
      <w:autoSpaceDN w:val="0"/>
      <w:adjustRightInd w:val="0"/>
      <w:spacing w:line="240" w:lineRule="auto"/>
      <w:jc w:val="both"/>
      <w:outlineLvl w:val="7"/>
    </w:pPr>
    <w:rPr>
      <w:rFonts w:ascii="Bookman Old Style" w:eastAsia="SimSun" w:hAnsi="Bookman Old Style" w:cs="Bookman Old Style"/>
      <w:b/>
      <w:bCs/>
      <w:spacing w:val="-2"/>
      <w:sz w:val="20"/>
      <w:szCs w:val="20"/>
      <w:u w:val="single"/>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8Carattere">
    <w:name w:val="Titolo 8 Carattere"/>
    <w:basedOn w:val="Carpredefinitoparagrafo"/>
    <w:link w:val="Titolo8"/>
    <w:uiPriority w:val="99"/>
    <w:rsid w:val="00335E2F"/>
    <w:rPr>
      <w:rFonts w:ascii="Bookman Old Style" w:eastAsia="SimSun" w:hAnsi="Bookman Old Style" w:cs="Bookman Old Style"/>
      <w:b/>
      <w:bCs/>
      <w:spacing w:val="-2"/>
      <w:sz w:val="20"/>
      <w:szCs w:val="20"/>
      <w:u w:val="single"/>
      <w:lang w:eastAsia="it-IT"/>
    </w:rPr>
  </w:style>
  <w:style w:type="paragraph" w:styleId="Corpotesto">
    <w:name w:val="Body Text"/>
    <w:basedOn w:val="Normale"/>
    <w:link w:val="CorpotestoCarattere"/>
    <w:rsid w:val="00B848DB"/>
    <w:pPr>
      <w:spacing w:line="240" w:lineRule="auto"/>
      <w:jc w:val="center"/>
    </w:pPr>
    <w:rPr>
      <w:rFonts w:ascii="Times New Roman" w:eastAsia="Times New Roman" w:hAnsi="Times New Roman" w:cs="Times New Roman"/>
      <w:sz w:val="24"/>
      <w:szCs w:val="24"/>
      <w:lang w:eastAsia="it-IT"/>
    </w:rPr>
  </w:style>
  <w:style w:type="character" w:customStyle="1" w:styleId="CorpotestoCarattere">
    <w:name w:val="Corpo testo Carattere"/>
    <w:basedOn w:val="Carpredefinitoparagrafo"/>
    <w:link w:val="Corpotesto"/>
    <w:rsid w:val="00B848DB"/>
    <w:rPr>
      <w:rFonts w:ascii="Times New Roman" w:eastAsia="Times New Roman" w:hAnsi="Times New Roman" w:cs="Times New Roman"/>
      <w:sz w:val="24"/>
      <w:szCs w:val="24"/>
      <w:lang w:eastAsia="it-IT"/>
    </w:rPr>
  </w:style>
  <w:style w:type="character" w:customStyle="1" w:styleId="Titolo2Carattere">
    <w:name w:val="Titolo 2 Carattere"/>
    <w:basedOn w:val="Carpredefinitoparagrafo"/>
    <w:link w:val="Titolo2"/>
    <w:uiPriority w:val="9"/>
    <w:semiHidden/>
    <w:rsid w:val="00D85714"/>
    <w:rPr>
      <w:rFonts w:asciiTheme="majorHAnsi" w:eastAsiaTheme="majorEastAsia" w:hAnsiTheme="majorHAnsi" w:cstheme="majorBidi"/>
      <w:b/>
      <w:bCs/>
      <w:color w:val="4F81BD" w:themeColor="accent1"/>
      <w:sz w:val="26"/>
      <w:szCs w:val="26"/>
    </w:rPr>
  </w:style>
  <w:style w:type="paragraph" w:customStyle="1" w:styleId="Standard">
    <w:name w:val="Standard"/>
    <w:rsid w:val="00D85714"/>
    <w:pPr>
      <w:widowControl w:val="0"/>
      <w:suppressAutoHyphens/>
      <w:autoSpaceDN w:val="0"/>
      <w:spacing w:line="240" w:lineRule="auto"/>
      <w:textAlignment w:val="baseline"/>
    </w:pPr>
    <w:rPr>
      <w:rFonts w:ascii="Times New Roman" w:eastAsia="SimSun" w:hAnsi="Times New Roman" w:cs="Arial"/>
      <w:kern w:val="3"/>
      <w:sz w:val="24"/>
      <w:szCs w:val="24"/>
      <w:lang w:eastAsia="zh-CN" w:bidi="hi-IN"/>
    </w:rPr>
  </w:style>
  <w:style w:type="paragraph" w:customStyle="1" w:styleId="Textbody">
    <w:name w:val="Text body"/>
    <w:basedOn w:val="Standard"/>
    <w:rsid w:val="00D85714"/>
    <w:pPr>
      <w:spacing w:after="120"/>
    </w:pPr>
  </w:style>
  <w:style w:type="paragraph" w:styleId="Intestazione">
    <w:name w:val="header"/>
    <w:basedOn w:val="Standard"/>
    <w:link w:val="IntestazioneCarattere"/>
    <w:rsid w:val="00D85714"/>
    <w:pPr>
      <w:tabs>
        <w:tab w:val="center" w:pos="4819"/>
        <w:tab w:val="right" w:pos="9638"/>
      </w:tabs>
    </w:pPr>
    <w:rPr>
      <w:lang w:eastAsia="it-IT"/>
    </w:rPr>
  </w:style>
  <w:style w:type="character" w:customStyle="1" w:styleId="IntestazioneCarattere">
    <w:name w:val="Intestazione Carattere"/>
    <w:basedOn w:val="Carpredefinitoparagrafo"/>
    <w:link w:val="Intestazione"/>
    <w:rsid w:val="00D85714"/>
    <w:rPr>
      <w:rFonts w:ascii="Times New Roman" w:eastAsia="SimSun" w:hAnsi="Times New Roman" w:cs="Arial"/>
      <w:kern w:val="3"/>
      <w:sz w:val="24"/>
      <w:szCs w:val="24"/>
      <w:lang w:eastAsia="it-IT" w:bidi="hi-IN"/>
    </w:rPr>
  </w:style>
  <w:style w:type="paragraph" w:customStyle="1" w:styleId="TableContents">
    <w:name w:val="Table Contents"/>
    <w:basedOn w:val="Standard"/>
    <w:rsid w:val="00D85714"/>
    <w:pPr>
      <w:suppressLineNumbers/>
    </w:pPr>
  </w:style>
  <w:style w:type="character" w:styleId="Collegamentoipertestuale">
    <w:name w:val="Hyperlink"/>
    <w:basedOn w:val="Carpredefinitoparagrafo"/>
    <w:uiPriority w:val="99"/>
    <w:semiHidden/>
    <w:unhideWhenUsed/>
    <w:rsid w:val="00573783"/>
    <w:rPr>
      <w:color w:val="0000FF"/>
      <w:u w:val="single"/>
    </w:rPr>
  </w:style>
  <w:style w:type="character" w:customStyle="1" w:styleId="ipa">
    <w:name w:val="ipa"/>
    <w:basedOn w:val="Carpredefinitoparagrafo"/>
    <w:rsid w:val="00573783"/>
  </w:style>
  <w:style w:type="character" w:customStyle="1" w:styleId="Titolo3Carattere">
    <w:name w:val="Titolo 3 Carattere"/>
    <w:basedOn w:val="Carpredefinitoparagrafo"/>
    <w:link w:val="Titolo3"/>
    <w:uiPriority w:val="9"/>
    <w:semiHidden/>
    <w:rsid w:val="008C016D"/>
    <w:rPr>
      <w:rFonts w:asciiTheme="majorHAnsi" w:eastAsiaTheme="majorEastAsia" w:hAnsiTheme="majorHAnsi" w:cstheme="majorBidi"/>
      <w:b/>
      <w:bCs/>
      <w:color w:val="4F81BD" w:themeColor="accent1"/>
    </w:rPr>
  </w:style>
  <w:style w:type="paragraph" w:styleId="NormaleWeb">
    <w:name w:val="Normal (Web)"/>
    <w:basedOn w:val="Normale"/>
    <w:uiPriority w:val="99"/>
    <w:semiHidden/>
    <w:unhideWhenUsed/>
    <w:rsid w:val="008C016D"/>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mw-headline">
    <w:name w:val="mw-headline"/>
    <w:basedOn w:val="Carpredefinitoparagrafo"/>
    <w:rsid w:val="008C016D"/>
  </w:style>
  <w:style w:type="character" w:styleId="Enfasigrassetto">
    <w:name w:val="Strong"/>
    <w:basedOn w:val="Carpredefinitoparagrafo"/>
    <w:uiPriority w:val="22"/>
    <w:qFormat/>
    <w:rsid w:val="001044F2"/>
    <w:rPr>
      <w:b/>
      <w:bCs/>
    </w:rPr>
  </w:style>
  <w:style w:type="character" w:styleId="Enfasicorsivo">
    <w:name w:val="Emphasis"/>
    <w:basedOn w:val="Carpredefinitoparagrafo"/>
    <w:uiPriority w:val="20"/>
    <w:qFormat/>
    <w:rsid w:val="0058218F"/>
    <w:rPr>
      <w:i/>
      <w:iCs/>
    </w:rPr>
  </w:style>
  <w:style w:type="paragraph" w:styleId="Testofumetto">
    <w:name w:val="Balloon Text"/>
    <w:basedOn w:val="Normale"/>
    <w:link w:val="TestofumettoCarattere"/>
    <w:uiPriority w:val="99"/>
    <w:semiHidden/>
    <w:unhideWhenUsed/>
    <w:rsid w:val="0058218F"/>
    <w:pPr>
      <w:spacing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8218F"/>
    <w:rPr>
      <w:rFonts w:ascii="Tahoma" w:hAnsi="Tahoma" w:cs="Tahoma"/>
      <w:sz w:val="16"/>
      <w:szCs w:val="16"/>
    </w:rPr>
  </w:style>
  <w:style w:type="paragraph" w:customStyle="1" w:styleId="CarattereCarattereCarattereCarattereCarattereCarattereCarattereCarattereCarattereCarattereCarattereCarattereCarattereCarattereCarattereCarattereCarattereCarattereCarattereCarattereCarattereCarattere">
    <w:name w:val="Carattere Carattere Carattere Carattere Carattere Carattere Carattere Carattere Carattere Carattere Carattere Carattere Carattere Carattere Carattere Carattere Carattere Carattere Carattere Carattere Carattere Carattere"/>
    <w:basedOn w:val="Normale"/>
    <w:rsid w:val="002A4BB6"/>
    <w:pPr>
      <w:spacing w:after="160" w:line="240" w:lineRule="exact"/>
      <w:jc w:val="both"/>
    </w:pPr>
    <w:rPr>
      <w:rFonts w:ascii="Tahoma" w:eastAsia="Times New Roman" w:hAnsi="Tahoma" w:cs="Times New Roman"/>
      <w:sz w:val="20"/>
      <w:szCs w:val="20"/>
      <w:lang w:val="en-US"/>
    </w:rPr>
  </w:style>
  <w:style w:type="paragraph" w:styleId="Paragrafoelenco">
    <w:name w:val="List Paragraph"/>
    <w:basedOn w:val="Normale"/>
    <w:uiPriority w:val="34"/>
    <w:qFormat/>
    <w:rsid w:val="006E6700"/>
    <w:pPr>
      <w:ind w:left="720"/>
      <w:contextualSpacing/>
    </w:pPr>
  </w:style>
  <w:style w:type="paragraph" w:customStyle="1" w:styleId="Default">
    <w:name w:val="Default"/>
    <w:rsid w:val="00E20A1E"/>
    <w:pPr>
      <w:autoSpaceDE w:val="0"/>
      <w:autoSpaceDN w:val="0"/>
      <w:adjustRightInd w:val="0"/>
      <w:spacing w:line="240" w:lineRule="auto"/>
    </w:pPr>
    <w:rPr>
      <w:rFonts w:ascii="Calibri" w:hAnsi="Calibri" w:cs="Calibri"/>
      <w:color w:val="000000"/>
      <w:sz w:val="24"/>
      <w:szCs w:val="24"/>
    </w:rPr>
  </w:style>
  <w:style w:type="table" w:customStyle="1" w:styleId="Grigliatabella1">
    <w:name w:val="Griglia tabella1"/>
    <w:basedOn w:val="Tabellanormale"/>
    <w:next w:val="Grigliatabella"/>
    <w:uiPriority w:val="39"/>
    <w:rsid w:val="00586067"/>
    <w:pPr>
      <w:spacing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gliatabella">
    <w:name w:val="Table Grid"/>
    <w:basedOn w:val="Tabellanormale"/>
    <w:uiPriority w:val="59"/>
    <w:rsid w:val="0058606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DB4247"/>
    <w:pPr>
      <w:widowControl w:val="0"/>
      <w:autoSpaceDE w:val="0"/>
      <w:autoSpaceDN w:val="0"/>
      <w:spacing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DB4247"/>
    <w:pPr>
      <w:widowControl w:val="0"/>
      <w:autoSpaceDE w:val="0"/>
      <w:autoSpaceDN w:val="0"/>
      <w:spacing w:line="234" w:lineRule="exact"/>
      <w:ind w:left="227"/>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4531833">
      <w:bodyDiv w:val="1"/>
      <w:marLeft w:val="0"/>
      <w:marRight w:val="0"/>
      <w:marTop w:val="0"/>
      <w:marBottom w:val="0"/>
      <w:divBdr>
        <w:top w:val="none" w:sz="0" w:space="0" w:color="auto"/>
        <w:left w:val="none" w:sz="0" w:space="0" w:color="auto"/>
        <w:bottom w:val="none" w:sz="0" w:space="0" w:color="auto"/>
        <w:right w:val="none" w:sz="0" w:space="0" w:color="auto"/>
      </w:divBdr>
    </w:div>
    <w:div w:id="482743299">
      <w:bodyDiv w:val="1"/>
      <w:marLeft w:val="0"/>
      <w:marRight w:val="0"/>
      <w:marTop w:val="0"/>
      <w:marBottom w:val="0"/>
      <w:divBdr>
        <w:top w:val="none" w:sz="0" w:space="0" w:color="auto"/>
        <w:left w:val="none" w:sz="0" w:space="0" w:color="auto"/>
        <w:bottom w:val="none" w:sz="0" w:space="0" w:color="auto"/>
        <w:right w:val="none" w:sz="0" w:space="0" w:color="auto"/>
      </w:divBdr>
    </w:div>
    <w:div w:id="550917912">
      <w:bodyDiv w:val="1"/>
      <w:marLeft w:val="0"/>
      <w:marRight w:val="0"/>
      <w:marTop w:val="0"/>
      <w:marBottom w:val="0"/>
      <w:divBdr>
        <w:top w:val="none" w:sz="0" w:space="0" w:color="auto"/>
        <w:left w:val="none" w:sz="0" w:space="0" w:color="auto"/>
        <w:bottom w:val="none" w:sz="0" w:space="0" w:color="auto"/>
        <w:right w:val="none" w:sz="0" w:space="0" w:color="auto"/>
      </w:divBdr>
    </w:div>
    <w:div w:id="693266986">
      <w:bodyDiv w:val="1"/>
      <w:marLeft w:val="0"/>
      <w:marRight w:val="0"/>
      <w:marTop w:val="0"/>
      <w:marBottom w:val="0"/>
      <w:divBdr>
        <w:top w:val="none" w:sz="0" w:space="0" w:color="auto"/>
        <w:left w:val="none" w:sz="0" w:space="0" w:color="auto"/>
        <w:bottom w:val="none" w:sz="0" w:space="0" w:color="auto"/>
        <w:right w:val="none" w:sz="0" w:space="0" w:color="auto"/>
      </w:divBdr>
    </w:div>
    <w:div w:id="1255628590">
      <w:bodyDiv w:val="1"/>
      <w:marLeft w:val="0"/>
      <w:marRight w:val="0"/>
      <w:marTop w:val="0"/>
      <w:marBottom w:val="0"/>
      <w:divBdr>
        <w:top w:val="none" w:sz="0" w:space="0" w:color="auto"/>
        <w:left w:val="none" w:sz="0" w:space="0" w:color="auto"/>
        <w:bottom w:val="none" w:sz="0" w:space="0" w:color="auto"/>
        <w:right w:val="none" w:sz="0" w:space="0" w:color="auto"/>
      </w:divBdr>
    </w:div>
    <w:div w:id="1346595681">
      <w:bodyDiv w:val="1"/>
      <w:marLeft w:val="0"/>
      <w:marRight w:val="0"/>
      <w:marTop w:val="0"/>
      <w:marBottom w:val="0"/>
      <w:divBdr>
        <w:top w:val="none" w:sz="0" w:space="0" w:color="auto"/>
        <w:left w:val="none" w:sz="0" w:space="0" w:color="auto"/>
        <w:bottom w:val="none" w:sz="0" w:space="0" w:color="auto"/>
        <w:right w:val="none" w:sz="0" w:space="0" w:color="auto"/>
      </w:divBdr>
      <w:divsChild>
        <w:div w:id="1098865929">
          <w:marLeft w:val="0"/>
          <w:marRight w:val="0"/>
          <w:marTop w:val="0"/>
          <w:marBottom w:val="0"/>
          <w:divBdr>
            <w:top w:val="none" w:sz="0" w:space="0" w:color="auto"/>
            <w:left w:val="none" w:sz="0" w:space="0" w:color="auto"/>
            <w:bottom w:val="none" w:sz="0" w:space="0" w:color="auto"/>
            <w:right w:val="none" w:sz="0" w:space="0" w:color="auto"/>
          </w:divBdr>
          <w:divsChild>
            <w:div w:id="1766535494">
              <w:marLeft w:val="0"/>
              <w:marRight w:val="0"/>
              <w:marTop w:val="0"/>
              <w:marBottom w:val="0"/>
              <w:divBdr>
                <w:top w:val="none" w:sz="0" w:space="0" w:color="auto"/>
                <w:left w:val="none" w:sz="0" w:space="0" w:color="auto"/>
                <w:bottom w:val="none" w:sz="0" w:space="0" w:color="auto"/>
                <w:right w:val="none" w:sz="0" w:space="0" w:color="auto"/>
              </w:divBdr>
            </w:div>
            <w:div w:id="1492140591">
              <w:marLeft w:val="0"/>
              <w:marRight w:val="0"/>
              <w:marTop w:val="0"/>
              <w:marBottom w:val="0"/>
              <w:divBdr>
                <w:top w:val="none" w:sz="0" w:space="0" w:color="auto"/>
                <w:left w:val="none" w:sz="0" w:space="0" w:color="auto"/>
                <w:bottom w:val="none" w:sz="0" w:space="0" w:color="auto"/>
                <w:right w:val="none" w:sz="0" w:space="0" w:color="auto"/>
              </w:divBdr>
            </w:div>
            <w:div w:id="388918134">
              <w:marLeft w:val="0"/>
              <w:marRight w:val="0"/>
              <w:marTop w:val="0"/>
              <w:marBottom w:val="0"/>
              <w:divBdr>
                <w:top w:val="none" w:sz="0" w:space="0" w:color="auto"/>
                <w:left w:val="none" w:sz="0" w:space="0" w:color="auto"/>
                <w:bottom w:val="none" w:sz="0" w:space="0" w:color="auto"/>
                <w:right w:val="none" w:sz="0" w:space="0" w:color="auto"/>
              </w:divBdr>
            </w:div>
          </w:divsChild>
        </w:div>
        <w:div w:id="1255745881">
          <w:marLeft w:val="0"/>
          <w:marRight w:val="0"/>
          <w:marTop w:val="0"/>
          <w:marBottom w:val="0"/>
          <w:divBdr>
            <w:top w:val="none" w:sz="0" w:space="0" w:color="auto"/>
            <w:left w:val="none" w:sz="0" w:space="0" w:color="auto"/>
            <w:bottom w:val="none" w:sz="0" w:space="0" w:color="auto"/>
            <w:right w:val="none" w:sz="0" w:space="0" w:color="auto"/>
          </w:divBdr>
        </w:div>
      </w:divsChild>
    </w:div>
    <w:div w:id="1593204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hyperlink" Target="https://it.wikipedia.org/wiki/XX_secol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it-I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cap="none" spc="20" baseline="0">
                <a:solidFill>
                  <a:schemeClr val="tx1">
                    <a:lumMod val="50000"/>
                    <a:lumOff val="50000"/>
                  </a:schemeClr>
                </a:solidFill>
                <a:latin typeface="+mn-lt"/>
                <a:ea typeface="+mn-ea"/>
                <a:cs typeface="+mn-cs"/>
              </a:defRPr>
            </a:pPr>
            <a:r>
              <a:rPr lang="it-IT"/>
              <a:t>Distribuzione della popolazione scolastica per classi di età</a:t>
            </a:r>
          </a:p>
        </c:rich>
      </c:tx>
      <c:overlay val="0"/>
      <c:spPr>
        <a:noFill/>
        <a:ln>
          <a:noFill/>
        </a:ln>
        <a:effectLst/>
      </c:spPr>
      <c:txPr>
        <a:bodyPr rot="0" spcFirstLastPara="1" vertOverflow="ellipsis" vert="horz" wrap="square" anchor="ctr" anchorCtr="1"/>
        <a:lstStyle/>
        <a:p>
          <a:pPr>
            <a:defRPr sz="1400" b="0" i="0" u="none" strike="noStrike" kern="1200" cap="none" spc="20" baseline="0">
              <a:solidFill>
                <a:schemeClr val="tx1">
                  <a:lumMod val="50000"/>
                  <a:lumOff val="50000"/>
                </a:schemeClr>
              </a:solidFill>
              <a:latin typeface="+mn-lt"/>
              <a:ea typeface="+mn-ea"/>
              <a:cs typeface="+mn-cs"/>
            </a:defRPr>
          </a:pPr>
          <a:endParaRPr lang="it-IT"/>
        </a:p>
      </c:txPr>
    </c:title>
    <c:autoTitleDeleted val="0"/>
    <c:plotArea>
      <c:layout>
        <c:manualLayout>
          <c:layoutTarget val="inner"/>
          <c:xMode val="edge"/>
          <c:yMode val="edge"/>
          <c:x val="0.10146392711991334"/>
          <c:y val="0.17261116324190046"/>
          <c:w val="0.86197097592717808"/>
          <c:h val="0.70308455614032705"/>
        </c:manualLayout>
      </c:layout>
      <c:barChart>
        <c:barDir val="bar"/>
        <c:grouping val="clustered"/>
        <c:varyColors val="0"/>
        <c:ser>
          <c:idx val="0"/>
          <c:order val="0"/>
          <c:tx>
            <c:strRef>
              <c:f>Foglio1!$B$1</c:f>
              <c:strCache>
                <c:ptCount val="1"/>
                <c:pt idx="0">
                  <c:v>Asilo Nido</c:v>
                </c:pt>
              </c:strCache>
            </c:strRef>
          </c:tx>
          <c:spPr>
            <a:solidFill>
              <a:srgbClr val="FF33CC"/>
            </a:solidFill>
            <a:ln w="9525" cap="flat" cmpd="sng" algn="ctr">
              <a:solidFill>
                <a:schemeClr val="accent1">
                  <a:shade val="95000"/>
                </a:schemeClr>
              </a:solidFill>
              <a:round/>
            </a:ln>
            <a:effectLst/>
          </c:spPr>
          <c:invertIfNegative val="0"/>
          <c:dPt>
            <c:idx val="0"/>
            <c:invertIfNegative val="0"/>
            <c:bubble3D val="0"/>
            <c:spPr>
              <a:solidFill>
                <a:srgbClr val="FF33CC"/>
              </a:solidFill>
              <a:ln w="9525" cap="flat" cmpd="sng" algn="ctr">
                <a:solidFill>
                  <a:schemeClr val="accent1">
                    <a:shade val="95000"/>
                  </a:schemeClr>
                </a:solidFill>
                <a:round/>
              </a:ln>
              <a:effectLst/>
            </c:spPr>
            <c:extLst>
              <c:ext xmlns:c16="http://schemas.microsoft.com/office/drawing/2014/chart" uri="{C3380CC4-5D6E-409C-BE32-E72D297353CC}">
                <c16:uniqueId val="{00000001-2F29-4575-88AD-35D7AFD651CB}"/>
              </c:ext>
            </c:extLst>
          </c:dPt>
          <c:dPt>
            <c:idx val="1"/>
            <c:invertIfNegative val="0"/>
            <c:bubble3D val="0"/>
            <c:spPr>
              <a:solidFill>
                <a:srgbClr val="FF33CC"/>
              </a:solidFill>
              <a:ln w="9525" cap="flat" cmpd="sng" algn="ctr">
                <a:solidFill>
                  <a:schemeClr val="accent1">
                    <a:shade val="95000"/>
                  </a:schemeClr>
                </a:solidFill>
                <a:round/>
              </a:ln>
              <a:effectLst/>
            </c:spPr>
            <c:extLst>
              <c:ext xmlns:c16="http://schemas.microsoft.com/office/drawing/2014/chart" uri="{C3380CC4-5D6E-409C-BE32-E72D297353CC}">
                <c16:uniqueId val="{00000003-2F29-4575-88AD-35D7AFD651CB}"/>
              </c:ext>
            </c:extLst>
          </c:dPt>
          <c:dPt>
            <c:idx val="2"/>
            <c:invertIfNegative val="0"/>
            <c:bubble3D val="0"/>
            <c:spPr>
              <a:solidFill>
                <a:srgbClr val="FF33CC"/>
              </a:solidFill>
              <a:ln w="9525" cap="flat" cmpd="sng" algn="ctr">
                <a:solidFill>
                  <a:schemeClr val="accent1">
                    <a:shade val="95000"/>
                  </a:schemeClr>
                </a:solidFill>
                <a:round/>
              </a:ln>
              <a:effectLst/>
            </c:spPr>
            <c:extLst>
              <c:ext xmlns:c16="http://schemas.microsoft.com/office/drawing/2014/chart" uri="{C3380CC4-5D6E-409C-BE32-E72D297353CC}">
                <c16:uniqueId val="{00000005-2F29-4575-88AD-35D7AFD651CB}"/>
              </c:ext>
            </c:extLst>
          </c:dPt>
          <c:dPt>
            <c:idx val="3"/>
            <c:invertIfNegative val="0"/>
            <c:bubble3D val="0"/>
            <c:spPr>
              <a:solidFill>
                <a:srgbClr val="FFFF00"/>
              </a:solidFill>
              <a:ln w="9525" cap="flat" cmpd="sng" algn="ctr">
                <a:solidFill>
                  <a:schemeClr val="accent1">
                    <a:shade val="95000"/>
                  </a:schemeClr>
                </a:solidFill>
                <a:round/>
              </a:ln>
              <a:effectLst/>
            </c:spPr>
            <c:extLst>
              <c:ext xmlns:c16="http://schemas.microsoft.com/office/drawing/2014/chart" uri="{C3380CC4-5D6E-409C-BE32-E72D297353CC}">
                <c16:uniqueId val="{00000007-2F29-4575-88AD-35D7AFD651CB}"/>
              </c:ext>
            </c:extLst>
          </c:dPt>
          <c:dPt>
            <c:idx val="4"/>
            <c:invertIfNegative val="0"/>
            <c:bubble3D val="0"/>
            <c:spPr>
              <a:solidFill>
                <a:srgbClr val="FFFF00"/>
              </a:solidFill>
              <a:ln w="9525" cap="flat" cmpd="sng" algn="ctr">
                <a:solidFill>
                  <a:schemeClr val="accent1">
                    <a:shade val="95000"/>
                  </a:schemeClr>
                </a:solidFill>
                <a:round/>
              </a:ln>
              <a:effectLst/>
            </c:spPr>
            <c:extLst>
              <c:ext xmlns:c16="http://schemas.microsoft.com/office/drawing/2014/chart" uri="{C3380CC4-5D6E-409C-BE32-E72D297353CC}">
                <c16:uniqueId val="{00000009-2F29-4575-88AD-35D7AFD651CB}"/>
              </c:ext>
            </c:extLst>
          </c:dPt>
          <c:dPt>
            <c:idx val="5"/>
            <c:invertIfNegative val="0"/>
            <c:bubble3D val="0"/>
            <c:spPr>
              <a:solidFill>
                <a:srgbClr val="FFFF00"/>
              </a:solidFill>
              <a:ln w="9525" cap="flat" cmpd="sng" algn="ctr">
                <a:solidFill>
                  <a:schemeClr val="accent1">
                    <a:shade val="95000"/>
                  </a:schemeClr>
                </a:solidFill>
                <a:round/>
              </a:ln>
              <a:effectLst/>
            </c:spPr>
            <c:extLst>
              <c:ext xmlns:c16="http://schemas.microsoft.com/office/drawing/2014/chart" uri="{C3380CC4-5D6E-409C-BE32-E72D297353CC}">
                <c16:uniqueId val="{0000000B-2F29-4575-88AD-35D7AFD651CB}"/>
              </c:ext>
            </c:extLst>
          </c:dPt>
          <c:dPt>
            <c:idx val="6"/>
            <c:invertIfNegative val="0"/>
            <c:bubble3D val="0"/>
            <c:spPr>
              <a:solidFill>
                <a:srgbClr val="FFC000"/>
              </a:solidFill>
              <a:ln w="9525" cap="flat" cmpd="sng" algn="ctr">
                <a:solidFill>
                  <a:schemeClr val="accent1">
                    <a:shade val="95000"/>
                  </a:schemeClr>
                </a:solidFill>
                <a:round/>
              </a:ln>
              <a:effectLst/>
            </c:spPr>
            <c:extLst>
              <c:ext xmlns:c16="http://schemas.microsoft.com/office/drawing/2014/chart" uri="{C3380CC4-5D6E-409C-BE32-E72D297353CC}">
                <c16:uniqueId val="{0000000D-2F29-4575-88AD-35D7AFD651CB}"/>
              </c:ext>
            </c:extLst>
          </c:dPt>
          <c:dPt>
            <c:idx val="7"/>
            <c:invertIfNegative val="0"/>
            <c:bubble3D val="0"/>
            <c:spPr>
              <a:solidFill>
                <a:srgbClr val="FFC000"/>
              </a:solidFill>
              <a:ln w="9525" cap="flat" cmpd="sng" algn="ctr">
                <a:solidFill>
                  <a:schemeClr val="accent1">
                    <a:shade val="95000"/>
                  </a:schemeClr>
                </a:solidFill>
                <a:round/>
              </a:ln>
              <a:effectLst/>
            </c:spPr>
            <c:extLst>
              <c:ext xmlns:c16="http://schemas.microsoft.com/office/drawing/2014/chart" uri="{C3380CC4-5D6E-409C-BE32-E72D297353CC}">
                <c16:uniqueId val="{0000000F-2F29-4575-88AD-35D7AFD651CB}"/>
              </c:ext>
            </c:extLst>
          </c:dPt>
          <c:dPt>
            <c:idx val="8"/>
            <c:invertIfNegative val="0"/>
            <c:bubble3D val="0"/>
            <c:spPr>
              <a:solidFill>
                <a:srgbClr val="FFC000"/>
              </a:solidFill>
              <a:ln w="9525" cap="flat" cmpd="sng" algn="ctr">
                <a:solidFill>
                  <a:schemeClr val="accent1">
                    <a:shade val="95000"/>
                  </a:schemeClr>
                </a:solidFill>
                <a:round/>
              </a:ln>
              <a:effectLst/>
            </c:spPr>
            <c:extLst>
              <c:ext xmlns:c16="http://schemas.microsoft.com/office/drawing/2014/chart" uri="{C3380CC4-5D6E-409C-BE32-E72D297353CC}">
                <c16:uniqueId val="{00000011-2F29-4575-88AD-35D7AFD651CB}"/>
              </c:ext>
            </c:extLst>
          </c:dPt>
          <c:dPt>
            <c:idx val="9"/>
            <c:invertIfNegative val="0"/>
            <c:bubble3D val="0"/>
            <c:spPr>
              <a:solidFill>
                <a:srgbClr val="FFC000"/>
              </a:solidFill>
              <a:ln w="9525" cap="flat" cmpd="sng" algn="ctr">
                <a:solidFill>
                  <a:schemeClr val="accent1">
                    <a:shade val="95000"/>
                  </a:schemeClr>
                </a:solidFill>
                <a:round/>
              </a:ln>
              <a:effectLst/>
            </c:spPr>
            <c:extLst>
              <c:ext xmlns:c16="http://schemas.microsoft.com/office/drawing/2014/chart" uri="{C3380CC4-5D6E-409C-BE32-E72D297353CC}">
                <c16:uniqueId val="{00000013-2F29-4575-88AD-35D7AFD651CB}"/>
              </c:ext>
            </c:extLst>
          </c:dPt>
          <c:dPt>
            <c:idx val="10"/>
            <c:invertIfNegative val="0"/>
            <c:bubble3D val="0"/>
            <c:spPr>
              <a:solidFill>
                <a:srgbClr val="FFC000"/>
              </a:solidFill>
              <a:ln w="9525" cap="flat" cmpd="sng" algn="ctr">
                <a:solidFill>
                  <a:schemeClr val="accent1">
                    <a:shade val="95000"/>
                  </a:schemeClr>
                </a:solidFill>
                <a:round/>
              </a:ln>
              <a:effectLst/>
            </c:spPr>
            <c:extLst>
              <c:ext xmlns:c16="http://schemas.microsoft.com/office/drawing/2014/chart" uri="{C3380CC4-5D6E-409C-BE32-E72D297353CC}">
                <c16:uniqueId val="{00000015-2F29-4575-88AD-35D7AFD651CB}"/>
              </c:ext>
            </c:extLst>
          </c:dPt>
          <c:dPt>
            <c:idx val="11"/>
            <c:invertIfNegative val="0"/>
            <c:bubble3D val="0"/>
            <c:spPr>
              <a:solidFill>
                <a:srgbClr val="00B050"/>
              </a:solidFill>
              <a:ln w="9525" cap="flat" cmpd="sng" algn="ctr">
                <a:solidFill>
                  <a:schemeClr val="accent1">
                    <a:shade val="95000"/>
                  </a:schemeClr>
                </a:solidFill>
                <a:round/>
              </a:ln>
              <a:effectLst/>
            </c:spPr>
            <c:extLst>
              <c:ext xmlns:c16="http://schemas.microsoft.com/office/drawing/2014/chart" uri="{C3380CC4-5D6E-409C-BE32-E72D297353CC}">
                <c16:uniqueId val="{00000017-2F29-4575-88AD-35D7AFD651CB}"/>
              </c:ext>
            </c:extLst>
          </c:dPt>
          <c:dPt>
            <c:idx val="12"/>
            <c:invertIfNegative val="0"/>
            <c:bubble3D val="0"/>
            <c:spPr>
              <a:solidFill>
                <a:srgbClr val="00B050"/>
              </a:solidFill>
              <a:ln w="9525" cap="flat" cmpd="sng" algn="ctr">
                <a:solidFill>
                  <a:schemeClr val="accent1">
                    <a:shade val="95000"/>
                  </a:schemeClr>
                </a:solidFill>
                <a:round/>
              </a:ln>
              <a:effectLst/>
            </c:spPr>
            <c:extLst>
              <c:ext xmlns:c16="http://schemas.microsoft.com/office/drawing/2014/chart" uri="{C3380CC4-5D6E-409C-BE32-E72D297353CC}">
                <c16:uniqueId val="{00000019-2F29-4575-88AD-35D7AFD651CB}"/>
              </c:ext>
            </c:extLst>
          </c:dPt>
          <c:dPt>
            <c:idx val="13"/>
            <c:invertIfNegative val="0"/>
            <c:bubble3D val="0"/>
            <c:spPr>
              <a:solidFill>
                <a:srgbClr val="00B050"/>
              </a:solidFill>
              <a:ln w="9525" cap="flat" cmpd="sng" algn="ctr">
                <a:solidFill>
                  <a:schemeClr val="accent1">
                    <a:shade val="95000"/>
                  </a:schemeClr>
                </a:solidFill>
                <a:round/>
              </a:ln>
              <a:effectLst/>
            </c:spPr>
            <c:extLst>
              <c:ext xmlns:c16="http://schemas.microsoft.com/office/drawing/2014/chart" uri="{C3380CC4-5D6E-409C-BE32-E72D297353CC}">
                <c16:uniqueId val="{0000001B-2F29-4575-88AD-35D7AFD651CB}"/>
              </c:ext>
            </c:extLst>
          </c:dPt>
          <c:dPt>
            <c:idx val="14"/>
            <c:invertIfNegative val="0"/>
            <c:bubble3D val="0"/>
            <c:spPr>
              <a:solidFill>
                <a:srgbClr val="00B0F0"/>
              </a:solidFill>
              <a:ln w="9525" cap="flat" cmpd="sng" algn="ctr">
                <a:solidFill>
                  <a:schemeClr val="accent1">
                    <a:shade val="95000"/>
                  </a:schemeClr>
                </a:solidFill>
                <a:round/>
              </a:ln>
              <a:effectLst/>
            </c:spPr>
            <c:extLst>
              <c:ext xmlns:c16="http://schemas.microsoft.com/office/drawing/2014/chart" uri="{C3380CC4-5D6E-409C-BE32-E72D297353CC}">
                <c16:uniqueId val="{0000001D-2F29-4575-88AD-35D7AFD651CB}"/>
              </c:ext>
            </c:extLst>
          </c:dPt>
          <c:dPt>
            <c:idx val="15"/>
            <c:invertIfNegative val="0"/>
            <c:bubble3D val="0"/>
            <c:spPr>
              <a:solidFill>
                <a:srgbClr val="00B0F0"/>
              </a:solidFill>
              <a:ln w="9525" cap="flat" cmpd="sng" algn="ctr">
                <a:solidFill>
                  <a:schemeClr val="accent1">
                    <a:shade val="95000"/>
                  </a:schemeClr>
                </a:solidFill>
                <a:round/>
              </a:ln>
              <a:effectLst/>
            </c:spPr>
            <c:extLst>
              <c:ext xmlns:c16="http://schemas.microsoft.com/office/drawing/2014/chart" uri="{C3380CC4-5D6E-409C-BE32-E72D297353CC}">
                <c16:uniqueId val="{0000001F-2F29-4575-88AD-35D7AFD651CB}"/>
              </c:ext>
            </c:extLst>
          </c:dPt>
          <c:dPt>
            <c:idx val="16"/>
            <c:invertIfNegative val="0"/>
            <c:bubble3D val="0"/>
            <c:spPr>
              <a:solidFill>
                <a:srgbClr val="00B0F0"/>
              </a:solidFill>
              <a:ln w="9525" cap="flat" cmpd="sng" algn="ctr">
                <a:solidFill>
                  <a:schemeClr val="accent1">
                    <a:shade val="95000"/>
                  </a:schemeClr>
                </a:solidFill>
                <a:round/>
              </a:ln>
              <a:effectLst/>
            </c:spPr>
            <c:extLst>
              <c:ext xmlns:c16="http://schemas.microsoft.com/office/drawing/2014/chart" uri="{C3380CC4-5D6E-409C-BE32-E72D297353CC}">
                <c16:uniqueId val="{00000021-2F29-4575-88AD-35D7AFD651CB}"/>
              </c:ext>
            </c:extLst>
          </c:dPt>
          <c:dPt>
            <c:idx val="17"/>
            <c:invertIfNegative val="0"/>
            <c:bubble3D val="0"/>
            <c:spPr>
              <a:solidFill>
                <a:srgbClr val="00B0F0"/>
              </a:solidFill>
              <a:ln w="9525" cap="flat" cmpd="sng" algn="ctr">
                <a:solidFill>
                  <a:schemeClr val="accent1">
                    <a:shade val="95000"/>
                  </a:schemeClr>
                </a:solidFill>
                <a:round/>
              </a:ln>
              <a:effectLst/>
            </c:spPr>
            <c:extLst>
              <c:ext xmlns:c16="http://schemas.microsoft.com/office/drawing/2014/chart" uri="{C3380CC4-5D6E-409C-BE32-E72D297353CC}">
                <c16:uniqueId val="{00000023-2F29-4575-88AD-35D7AFD651CB}"/>
              </c:ext>
            </c:extLst>
          </c:dPt>
          <c:dPt>
            <c:idx val="18"/>
            <c:invertIfNegative val="0"/>
            <c:bubble3D val="0"/>
            <c:spPr>
              <a:solidFill>
                <a:srgbClr val="00B0F0"/>
              </a:solidFill>
              <a:ln w="9525" cap="flat" cmpd="sng" algn="ctr">
                <a:solidFill>
                  <a:schemeClr val="accent1">
                    <a:shade val="95000"/>
                  </a:schemeClr>
                </a:solidFill>
                <a:round/>
              </a:ln>
              <a:effectLst/>
            </c:spPr>
            <c:extLst>
              <c:ext xmlns:c16="http://schemas.microsoft.com/office/drawing/2014/chart" uri="{C3380CC4-5D6E-409C-BE32-E72D297353CC}">
                <c16:uniqueId val="{00000025-2F29-4575-88AD-35D7AFD651CB}"/>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it-I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Foglio1!$A$2:$A$20</c:f>
              <c:numCache>
                <c:formatCode>General</c:formatCode>
                <c:ptCount val="19"/>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numCache>
            </c:numRef>
          </c:cat>
          <c:val>
            <c:numRef>
              <c:f>Foglio1!$B$2:$B$20</c:f>
              <c:numCache>
                <c:formatCode>General</c:formatCode>
                <c:ptCount val="19"/>
                <c:pt idx="0">
                  <c:v>323</c:v>
                </c:pt>
                <c:pt idx="1">
                  <c:v>340</c:v>
                </c:pt>
                <c:pt idx="2">
                  <c:v>327</c:v>
                </c:pt>
                <c:pt idx="3">
                  <c:v>351</c:v>
                </c:pt>
                <c:pt idx="4">
                  <c:v>386</c:v>
                </c:pt>
                <c:pt idx="5">
                  <c:v>371</c:v>
                </c:pt>
                <c:pt idx="6">
                  <c:v>373</c:v>
                </c:pt>
                <c:pt idx="7">
                  <c:v>388</c:v>
                </c:pt>
                <c:pt idx="8">
                  <c:v>449</c:v>
                </c:pt>
                <c:pt idx="9">
                  <c:v>460</c:v>
                </c:pt>
                <c:pt idx="10">
                  <c:v>506</c:v>
                </c:pt>
                <c:pt idx="11">
                  <c:v>449</c:v>
                </c:pt>
                <c:pt idx="12">
                  <c:v>443</c:v>
                </c:pt>
                <c:pt idx="13">
                  <c:v>429</c:v>
                </c:pt>
                <c:pt idx="14">
                  <c:v>504</c:v>
                </c:pt>
                <c:pt idx="15">
                  <c:v>464</c:v>
                </c:pt>
                <c:pt idx="16">
                  <c:v>466</c:v>
                </c:pt>
                <c:pt idx="17">
                  <c:v>470</c:v>
                </c:pt>
                <c:pt idx="18">
                  <c:v>489</c:v>
                </c:pt>
              </c:numCache>
            </c:numRef>
          </c:val>
          <c:extLst>
            <c:ext xmlns:c16="http://schemas.microsoft.com/office/drawing/2014/chart" uri="{C3380CC4-5D6E-409C-BE32-E72D297353CC}">
              <c16:uniqueId val="{00000026-2F29-4575-88AD-35D7AFD651CB}"/>
            </c:ext>
          </c:extLst>
        </c:ser>
        <c:ser>
          <c:idx val="1"/>
          <c:order val="1"/>
          <c:tx>
            <c:strRef>
              <c:f>Foglio1!$C$1</c:f>
              <c:strCache>
                <c:ptCount val="1"/>
                <c:pt idx="0">
                  <c:v>Scuola dell'infanzia</c:v>
                </c:pt>
              </c:strCache>
            </c:strRef>
          </c:tx>
          <c:spPr>
            <a:solidFill>
              <a:srgbClr val="FFFF00"/>
            </a:solidFill>
            <a:ln w="9525" cap="flat" cmpd="sng" algn="ctr">
              <a:solidFill>
                <a:schemeClr val="accent2">
                  <a:shade val="95000"/>
                </a:schemeClr>
              </a:solidFill>
              <a:round/>
            </a:ln>
            <a:effectLst/>
          </c:spPr>
          <c:invertIfNegative val="0"/>
          <c:cat>
            <c:numRef>
              <c:f>Foglio1!$A$2:$A$20</c:f>
              <c:numCache>
                <c:formatCode>General</c:formatCode>
                <c:ptCount val="19"/>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numCache>
            </c:numRef>
          </c:cat>
          <c:val>
            <c:numRef>
              <c:f>Foglio1!$C$2:$C$20</c:f>
              <c:numCache>
                <c:formatCode>General</c:formatCode>
                <c:ptCount val="19"/>
                <c:pt idx="0">
                  <c:v>0</c:v>
                </c:pt>
              </c:numCache>
            </c:numRef>
          </c:val>
          <c:extLst>
            <c:ext xmlns:c16="http://schemas.microsoft.com/office/drawing/2014/chart" uri="{C3380CC4-5D6E-409C-BE32-E72D297353CC}">
              <c16:uniqueId val="{00000027-2F29-4575-88AD-35D7AFD651CB}"/>
            </c:ext>
          </c:extLst>
        </c:ser>
        <c:ser>
          <c:idx val="2"/>
          <c:order val="2"/>
          <c:tx>
            <c:v>Scuola primaria</c:v>
          </c:tx>
          <c:spPr>
            <a:solidFill>
              <a:srgbClr val="FFC000"/>
            </a:solidFill>
            <a:ln w="9525" cap="flat" cmpd="sng" algn="ctr">
              <a:solidFill>
                <a:schemeClr val="accent3">
                  <a:shade val="95000"/>
                </a:schemeClr>
              </a:solidFill>
              <a:round/>
            </a:ln>
            <a:effectLst/>
          </c:spPr>
          <c:invertIfNegative val="0"/>
          <c:val>
            <c:numLit>
              <c:formatCode>General</c:formatCode>
              <c:ptCount val="1"/>
              <c:pt idx="0">
                <c:v>1</c:v>
              </c:pt>
            </c:numLit>
          </c:val>
          <c:extLst>
            <c:ext xmlns:c16="http://schemas.microsoft.com/office/drawing/2014/chart" uri="{C3380CC4-5D6E-409C-BE32-E72D297353CC}">
              <c16:uniqueId val="{00000028-2F29-4575-88AD-35D7AFD651CB}"/>
            </c:ext>
          </c:extLst>
        </c:ser>
        <c:ser>
          <c:idx val="3"/>
          <c:order val="3"/>
          <c:tx>
            <c:v>Scuola sec. 1°</c:v>
          </c:tx>
          <c:spPr>
            <a:solidFill>
              <a:srgbClr val="00B050"/>
            </a:solidFill>
            <a:ln w="9525" cap="flat" cmpd="sng" algn="ctr">
              <a:solidFill>
                <a:schemeClr val="accent4">
                  <a:shade val="95000"/>
                </a:schemeClr>
              </a:solidFill>
              <a:round/>
            </a:ln>
            <a:effectLst/>
          </c:spPr>
          <c:invertIfNegative val="0"/>
          <c:val>
            <c:numLit>
              <c:formatCode>General</c:formatCode>
              <c:ptCount val="1"/>
              <c:pt idx="0">
                <c:v>1</c:v>
              </c:pt>
            </c:numLit>
          </c:val>
          <c:extLst>
            <c:ext xmlns:c16="http://schemas.microsoft.com/office/drawing/2014/chart" uri="{C3380CC4-5D6E-409C-BE32-E72D297353CC}">
              <c16:uniqueId val="{00000029-2F29-4575-88AD-35D7AFD651CB}"/>
            </c:ext>
          </c:extLst>
        </c:ser>
        <c:ser>
          <c:idx val="4"/>
          <c:order val="4"/>
          <c:tx>
            <c:v>Scuola sec. 2°</c:v>
          </c:tx>
          <c:spPr>
            <a:solidFill>
              <a:srgbClr val="00B0F0"/>
            </a:solidFill>
            <a:ln w="9525" cap="flat" cmpd="sng" algn="ctr">
              <a:solidFill>
                <a:schemeClr val="accent5">
                  <a:shade val="95000"/>
                </a:schemeClr>
              </a:solidFill>
              <a:round/>
            </a:ln>
            <a:effectLst/>
          </c:spPr>
          <c:invertIfNegative val="0"/>
          <c:val>
            <c:numLit>
              <c:formatCode>General</c:formatCode>
              <c:ptCount val="1"/>
              <c:pt idx="0">
                <c:v>1</c:v>
              </c:pt>
            </c:numLit>
          </c:val>
          <c:extLst>
            <c:ext xmlns:c16="http://schemas.microsoft.com/office/drawing/2014/chart" uri="{C3380CC4-5D6E-409C-BE32-E72D297353CC}">
              <c16:uniqueId val="{0000002A-2F29-4575-88AD-35D7AFD651CB}"/>
            </c:ext>
          </c:extLst>
        </c:ser>
        <c:dLbls>
          <c:showLegendKey val="0"/>
          <c:showVal val="0"/>
          <c:showCatName val="0"/>
          <c:showSerName val="0"/>
          <c:showPercent val="0"/>
          <c:showBubbleSize val="0"/>
        </c:dLbls>
        <c:gapWidth val="75"/>
        <c:overlap val="40"/>
        <c:axId val="618441064"/>
        <c:axId val="618442048"/>
      </c:barChart>
      <c:catAx>
        <c:axId val="618441064"/>
        <c:scaling>
          <c:orientation val="minMax"/>
        </c:scaling>
        <c:delete val="0"/>
        <c:axPos val="l"/>
        <c:title>
          <c:tx>
            <c:rich>
              <a:bodyPr rot="-5400000" spcFirstLastPara="1" vertOverflow="ellipsis" vert="horz" wrap="square" anchor="ctr" anchorCtr="1"/>
              <a:lstStyle/>
              <a:p>
                <a:pPr>
                  <a:defRPr sz="900" b="0" i="0" u="none" strike="noStrike" kern="1200" cap="all" baseline="0">
                    <a:solidFill>
                      <a:schemeClr val="tx1">
                        <a:lumMod val="50000"/>
                        <a:lumOff val="50000"/>
                      </a:schemeClr>
                    </a:solidFill>
                    <a:latin typeface="+mn-lt"/>
                    <a:ea typeface="+mn-ea"/>
                    <a:cs typeface="+mn-cs"/>
                  </a:defRPr>
                </a:pPr>
                <a:r>
                  <a:rPr lang="it-IT"/>
                  <a:t>eta'</a:t>
                </a:r>
              </a:p>
            </c:rich>
          </c:tx>
          <c:overlay val="0"/>
          <c:spPr>
            <a:noFill/>
            <a:ln>
              <a:noFill/>
            </a:ln>
            <a:effectLst/>
          </c:spPr>
          <c:txPr>
            <a:bodyPr rot="-5400000" spcFirstLastPara="1" vertOverflow="ellipsis" vert="horz" wrap="square" anchor="ctr" anchorCtr="1"/>
            <a:lstStyle/>
            <a:p>
              <a:pPr>
                <a:defRPr sz="900" b="0" i="0" u="none" strike="noStrike" kern="1200" cap="all" baseline="0">
                  <a:solidFill>
                    <a:schemeClr val="tx1">
                      <a:lumMod val="50000"/>
                      <a:lumOff val="50000"/>
                    </a:schemeClr>
                  </a:solidFill>
                  <a:latin typeface="+mn-lt"/>
                  <a:ea typeface="+mn-ea"/>
                  <a:cs typeface="+mn-cs"/>
                </a:defRPr>
              </a:pPr>
              <a:endParaRPr lang="it-IT"/>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it-IT"/>
          </a:p>
        </c:txPr>
        <c:crossAx val="618442048"/>
        <c:crosses val="autoZero"/>
        <c:auto val="1"/>
        <c:lblAlgn val="ctr"/>
        <c:lblOffset val="100"/>
        <c:noMultiLvlLbl val="0"/>
      </c:catAx>
      <c:valAx>
        <c:axId val="618442048"/>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900" b="0" i="0" u="none" strike="noStrike" kern="1200" cap="all" baseline="0">
                    <a:solidFill>
                      <a:schemeClr val="tx1">
                        <a:lumMod val="50000"/>
                        <a:lumOff val="50000"/>
                      </a:schemeClr>
                    </a:solidFill>
                    <a:latin typeface="+mn-lt"/>
                    <a:ea typeface="+mn-ea"/>
                    <a:cs typeface="+mn-cs"/>
                  </a:defRPr>
                </a:pPr>
                <a:r>
                  <a:rPr lang="it-IT"/>
                  <a:t>Popolazione</a:t>
                </a:r>
                <a:r>
                  <a:rPr lang="it-IT" baseline="0"/>
                  <a:t> per eta' scolastica al 31.12.2025</a:t>
                </a:r>
                <a:endParaRPr lang="it-IT"/>
              </a:p>
            </c:rich>
          </c:tx>
          <c:overlay val="0"/>
          <c:spPr>
            <a:noFill/>
            <a:ln>
              <a:noFill/>
            </a:ln>
            <a:effectLst/>
          </c:spPr>
          <c:txPr>
            <a:bodyPr rot="0" spcFirstLastPara="1" vertOverflow="ellipsis" vert="horz" wrap="square" anchor="ctr" anchorCtr="1"/>
            <a:lstStyle/>
            <a:p>
              <a:pPr>
                <a:defRPr sz="900" b="0" i="0" u="none" strike="noStrike" kern="1200" cap="all" baseline="0">
                  <a:solidFill>
                    <a:schemeClr val="tx1">
                      <a:lumMod val="50000"/>
                      <a:lumOff val="50000"/>
                    </a:schemeClr>
                  </a:solidFill>
                  <a:latin typeface="+mn-lt"/>
                  <a:ea typeface="+mn-ea"/>
                  <a:cs typeface="+mn-cs"/>
                </a:defRPr>
              </a:pPr>
              <a:endParaRPr lang="it-IT"/>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it-IT"/>
          </a:p>
        </c:txPr>
        <c:crossAx val="618441064"/>
        <c:crosses val="autoZero"/>
        <c:crossBetween val="between"/>
      </c:valAx>
      <c:spPr>
        <a:noFill/>
        <a:ln>
          <a:noFill/>
        </a:ln>
        <a:effectLst/>
      </c:spPr>
    </c:plotArea>
    <c:legend>
      <c:legendPos val="t"/>
      <c:legendEntry>
        <c:idx val="4"/>
        <c:txPr>
          <a:bodyPr rot="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it-IT"/>
          </a:p>
        </c:txPr>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it-IT"/>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it-IT"/>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9">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9E0E77-3C16-4E05-A8E7-72458235D4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158</TotalTime>
  <Pages>5</Pages>
  <Words>2006</Words>
  <Characters>11437</Characters>
  <Application>Microsoft Office Word</Application>
  <DocSecurity>0</DocSecurity>
  <Lines>95</Lines>
  <Paragraphs>26</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13417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Mauri, Erika</dc:creator>
  <cp:lastModifiedBy>Genna Giuseppe</cp:lastModifiedBy>
  <cp:revision>65</cp:revision>
  <dcterms:created xsi:type="dcterms:W3CDTF">2026-04-08T16:39:00Z</dcterms:created>
  <dcterms:modified xsi:type="dcterms:W3CDTF">2026-04-13T16:03:00Z</dcterms:modified>
</cp:coreProperties>
</file>